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autoSpaceDE w:val="0"/>
        <w:autoSpaceDN w:val="0"/>
        <w:adjustRightInd w:val="0"/>
        <w:spacing w:line="360" w:lineRule="auto"/>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广西涵坤项目管理有限公司关于机械工程教学中心建设项目（焊接实训中心）项目（LZZC2021-G1-000921-GXHK）的中标结果公告</w:t>
      </w:r>
    </w:p>
    <w:p>
      <w:pPr>
        <w:pStyle w:val="8"/>
        <w:keepNext w:val="0"/>
        <w:keepLines w:val="0"/>
        <w:widowControl/>
        <w:suppressLineNumbers w:val="0"/>
        <w:spacing w:before="75" w:beforeAutospacing="0" w:after="75" w:afterAutospacing="0" w:line="315" w:lineRule="atLeast"/>
        <w:ind w:left="0" w:right="0" w:firstLine="0"/>
        <w:rPr>
          <w:rFonts w:hint="eastAsia" w:ascii="仿宋_GB2312" w:hAnsi="仿宋_GB2312" w:eastAsia="仿宋_GB2312" w:cs="仿宋_GB2312"/>
          <w:i w:val="0"/>
          <w:iCs w:val="0"/>
          <w:caps w:val="0"/>
          <w:color w:val="000000"/>
          <w:spacing w:val="0"/>
          <w:sz w:val="28"/>
          <w:szCs w:val="28"/>
        </w:rPr>
      </w:pPr>
      <w:r>
        <w:rPr>
          <w:rStyle w:val="13"/>
          <w:rFonts w:hint="eastAsia" w:ascii="仿宋_GB2312" w:hAnsi="仿宋_GB2312" w:eastAsia="仿宋_GB2312" w:cs="仿宋_GB2312"/>
          <w:i w:val="0"/>
          <w:iCs w:val="0"/>
          <w:caps w:val="0"/>
          <w:color w:val="000000"/>
          <w:spacing w:val="0"/>
          <w:sz w:val="28"/>
          <w:szCs w:val="28"/>
        </w:rPr>
        <w:t>一、项目编号：</w:t>
      </w:r>
      <w:r>
        <w:rPr>
          <w:rFonts w:hint="eastAsia" w:ascii="仿宋_GB2312" w:hAnsi="仿宋_GB2312" w:eastAsia="仿宋_GB2312" w:cs="仿宋_GB2312"/>
          <w:i w:val="0"/>
          <w:iCs w:val="0"/>
          <w:caps w:val="0"/>
          <w:color w:val="000000"/>
          <w:spacing w:val="0"/>
          <w:sz w:val="28"/>
          <w:szCs w:val="28"/>
        </w:rPr>
        <w:t> LZZC2021-G1-000921-GXHK                  </w:t>
      </w:r>
    </w:p>
    <w:p>
      <w:pPr>
        <w:pStyle w:val="8"/>
        <w:keepNext w:val="0"/>
        <w:keepLines w:val="0"/>
        <w:widowControl/>
        <w:suppressLineNumbers w:val="0"/>
        <w:spacing w:before="255" w:beforeAutospacing="0" w:after="255" w:afterAutospacing="0" w:line="315" w:lineRule="atLeast"/>
        <w:ind w:left="0" w:right="0" w:firstLine="0"/>
        <w:jc w:val="both"/>
        <w:rPr>
          <w:rFonts w:hint="eastAsia" w:ascii="仿宋_GB2312" w:hAnsi="仿宋_GB2312" w:eastAsia="仿宋_GB2312" w:cs="仿宋_GB2312"/>
          <w:i w:val="0"/>
          <w:iCs w:val="0"/>
          <w:caps w:val="0"/>
          <w:color w:val="000000"/>
          <w:spacing w:val="0"/>
          <w:sz w:val="28"/>
          <w:szCs w:val="28"/>
        </w:rPr>
      </w:pPr>
      <w:r>
        <w:rPr>
          <w:rStyle w:val="13"/>
          <w:rFonts w:hint="eastAsia" w:ascii="仿宋_GB2312" w:hAnsi="仿宋_GB2312" w:eastAsia="仿宋_GB2312" w:cs="仿宋_GB2312"/>
          <w:i w:val="0"/>
          <w:iCs w:val="0"/>
          <w:caps w:val="0"/>
          <w:color w:val="000000"/>
          <w:spacing w:val="0"/>
          <w:sz w:val="28"/>
          <w:szCs w:val="28"/>
        </w:rPr>
        <w:t>二、项目名称：</w:t>
      </w:r>
      <w:r>
        <w:rPr>
          <w:rFonts w:hint="eastAsia" w:ascii="仿宋_GB2312" w:hAnsi="仿宋_GB2312" w:eastAsia="仿宋_GB2312" w:cs="仿宋_GB2312"/>
          <w:i w:val="0"/>
          <w:iCs w:val="0"/>
          <w:caps w:val="0"/>
          <w:color w:val="000000"/>
          <w:spacing w:val="0"/>
          <w:sz w:val="28"/>
          <w:szCs w:val="28"/>
        </w:rPr>
        <w:t> 机械工程教学中心建设项目（焊接实训中心）                     </w:t>
      </w:r>
    </w:p>
    <w:p>
      <w:pPr>
        <w:pStyle w:val="8"/>
        <w:keepNext w:val="0"/>
        <w:keepLines w:val="0"/>
        <w:widowControl/>
        <w:suppressLineNumbers w:val="0"/>
        <w:spacing w:before="75" w:beforeAutospacing="0" w:after="225" w:afterAutospacing="0" w:line="315" w:lineRule="atLeast"/>
        <w:ind w:left="0" w:right="0" w:firstLine="0"/>
        <w:rPr>
          <w:rFonts w:hint="eastAsia" w:ascii="仿宋_GB2312" w:hAnsi="仿宋_GB2312" w:eastAsia="仿宋_GB2312" w:cs="仿宋_GB2312"/>
          <w:i w:val="0"/>
          <w:iCs w:val="0"/>
          <w:caps w:val="0"/>
          <w:color w:val="000000"/>
          <w:spacing w:val="0"/>
          <w:sz w:val="28"/>
          <w:szCs w:val="28"/>
        </w:rPr>
      </w:pPr>
      <w:r>
        <w:rPr>
          <w:rStyle w:val="13"/>
          <w:rFonts w:hint="eastAsia" w:ascii="仿宋_GB2312" w:hAnsi="仿宋_GB2312" w:eastAsia="仿宋_GB2312" w:cs="仿宋_GB2312"/>
          <w:i w:val="0"/>
          <w:iCs w:val="0"/>
          <w:caps w:val="0"/>
          <w:color w:val="000000"/>
          <w:spacing w:val="0"/>
          <w:sz w:val="28"/>
          <w:szCs w:val="28"/>
        </w:rPr>
        <w:t>三、中标（成交）信息</w:t>
      </w:r>
      <w:r>
        <w:rPr>
          <w:rFonts w:hint="eastAsia" w:ascii="仿宋_GB2312" w:hAnsi="仿宋_GB2312" w:eastAsia="仿宋_GB2312" w:cs="仿宋_GB2312"/>
          <w:i w:val="0"/>
          <w:iCs w:val="0"/>
          <w:caps w:val="0"/>
          <w:color w:val="000000"/>
          <w:spacing w:val="0"/>
          <w:sz w:val="28"/>
          <w:szCs w:val="28"/>
        </w:rPr>
        <w:t>                    </w:t>
      </w:r>
    </w:p>
    <w:p>
      <w:pPr>
        <w:pStyle w:val="8"/>
        <w:keepNext w:val="0"/>
        <w:keepLines w:val="0"/>
        <w:widowControl/>
        <w:suppressLineNumbers w:val="0"/>
        <w:spacing w:before="75" w:beforeAutospacing="0" w:after="75"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1.中标结果：</w:t>
      </w:r>
    </w:p>
    <w:tbl>
      <w:tblPr>
        <w:tblStyle w:val="10"/>
        <w:tblW w:w="102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5"/>
        <w:gridCol w:w="2693"/>
        <w:gridCol w:w="2003"/>
        <w:gridCol w:w="4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83" w:hRule="atLeast"/>
          <w:tblHeader/>
        </w:trPr>
        <w:tc>
          <w:tcPr>
            <w:tcW w:w="0" w:type="auto"/>
            <w:tcBorders>
              <w:top w:val="single" w:color="DDDDDD"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val="en-US" w:eastAsia="zh-CN" w:bidi="ar"/>
              </w:rPr>
              <w:t>序号</w:t>
            </w:r>
          </w:p>
        </w:tc>
        <w:tc>
          <w:tcPr>
            <w:tcW w:w="0" w:type="auto"/>
            <w:tcBorders>
              <w:top w:val="single" w:color="DDDDDD"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val="en-US" w:eastAsia="zh-CN" w:bidi="ar"/>
              </w:rPr>
              <w:t>中标（成交）金额(元)</w:t>
            </w:r>
          </w:p>
        </w:tc>
        <w:tc>
          <w:tcPr>
            <w:tcW w:w="0" w:type="auto"/>
            <w:tcBorders>
              <w:top w:val="single" w:color="DDDDDD"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val="en-US" w:eastAsia="zh-CN" w:bidi="ar"/>
              </w:rPr>
              <w:t>中标供应商名称</w:t>
            </w:r>
          </w:p>
        </w:tc>
        <w:tc>
          <w:tcPr>
            <w:tcW w:w="0" w:type="auto"/>
            <w:tcBorders>
              <w:top w:val="single" w:color="DDDDDD"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val="en-US" w:eastAsia="zh-CN" w:bidi="ar"/>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83"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报价:1498600(元)</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深圳市为汉科技有限公司</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深圳市南山区桃源街道长源社区学苑大道1001号南山智园A4栋1218</w:t>
            </w:r>
          </w:p>
        </w:tc>
      </w:tr>
    </w:tbl>
    <w:p>
      <w:pPr>
        <w:pStyle w:val="8"/>
        <w:keepNext w:val="0"/>
        <w:keepLines w:val="0"/>
        <w:widowControl/>
        <w:suppressLineNumbers w:val="0"/>
        <w:spacing w:before="75" w:beforeAutospacing="0" w:after="75"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2.废标结果:  </w:t>
      </w:r>
    </w:p>
    <w:p>
      <w:pPr>
        <w:pStyle w:val="8"/>
        <w:keepNext w:val="0"/>
        <w:keepLines w:val="0"/>
        <w:widowControl/>
        <w:suppressLineNumbers w:val="0"/>
        <w:spacing w:before="75" w:beforeAutospacing="0" w:after="75"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11"/>
        <w:gridCol w:w="2511"/>
        <w:gridCol w:w="2512"/>
        <w:gridCol w:w="2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废标理由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w:t>
            </w:r>
          </w:p>
        </w:tc>
      </w:tr>
    </w:tbl>
    <w:p>
      <w:pPr>
        <w:keepNext w:val="0"/>
        <w:keepLines w:val="0"/>
        <w:widowControl/>
        <w:suppressLineNumbers w:val="0"/>
        <w:spacing w:line="300" w:lineRule="atLeast"/>
        <w:ind w:lef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lang w:val="en-US" w:eastAsia="zh-CN" w:bidi="ar"/>
        </w:rPr>
        <w:t> </w:t>
      </w:r>
    </w:p>
    <w:p>
      <w:pPr>
        <w:pStyle w:val="8"/>
        <w:keepNext w:val="0"/>
        <w:keepLines w:val="0"/>
        <w:widowControl/>
        <w:suppressLineNumbers w:val="0"/>
        <w:spacing w:before="255" w:beforeAutospacing="0" w:after="255" w:afterAutospacing="0" w:line="450" w:lineRule="atLeast"/>
        <w:ind w:left="0" w:right="0" w:firstLine="0"/>
        <w:jc w:val="both"/>
        <w:rPr>
          <w:rFonts w:hint="eastAsia" w:ascii="仿宋_GB2312" w:hAnsi="仿宋_GB2312" w:eastAsia="仿宋_GB2312" w:cs="仿宋_GB2312"/>
          <w:i w:val="0"/>
          <w:iCs w:val="0"/>
          <w:caps w:val="0"/>
          <w:color w:val="000000"/>
          <w:spacing w:val="0"/>
          <w:sz w:val="28"/>
          <w:szCs w:val="28"/>
        </w:rPr>
      </w:pPr>
      <w:r>
        <w:rPr>
          <w:rStyle w:val="13"/>
          <w:rFonts w:hint="eastAsia" w:ascii="仿宋_GB2312" w:hAnsi="仿宋_GB2312" w:eastAsia="仿宋_GB2312" w:cs="仿宋_GB2312"/>
          <w:i w:val="0"/>
          <w:iCs w:val="0"/>
          <w:caps w:val="0"/>
          <w:color w:val="000000"/>
          <w:spacing w:val="0"/>
          <w:sz w:val="28"/>
          <w:szCs w:val="28"/>
        </w:rPr>
        <w:t>四、主要标的信息</w:t>
      </w:r>
      <w:r>
        <w:rPr>
          <w:rFonts w:hint="eastAsia" w:ascii="仿宋_GB2312" w:hAnsi="仿宋_GB2312" w:eastAsia="仿宋_GB2312" w:cs="仿宋_GB2312"/>
          <w:i w:val="0"/>
          <w:iCs w:val="0"/>
          <w:caps w:val="0"/>
          <w:color w:val="000000"/>
          <w:spacing w:val="0"/>
          <w:sz w:val="28"/>
          <w:szCs w:val="28"/>
        </w:rPr>
        <w:t>                    </w:t>
      </w:r>
    </w:p>
    <w:p>
      <w:pPr>
        <w:pStyle w:val="8"/>
        <w:keepNext w:val="0"/>
        <w:keepLines w:val="0"/>
        <w:widowControl/>
        <w:suppressLineNumbers w:val="0"/>
        <w:spacing w:before="75" w:beforeAutospacing="0" w:after="75"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货物类主要标的信息：    </w:t>
      </w:r>
    </w:p>
    <w:p>
      <w:pPr>
        <w:pStyle w:val="8"/>
        <w:keepNext w:val="0"/>
        <w:keepLines w:val="0"/>
        <w:widowControl/>
        <w:suppressLineNumbers w:val="0"/>
        <w:spacing w:before="75" w:beforeAutospacing="0" w:after="75"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35"/>
        <w:gridCol w:w="1435"/>
        <w:gridCol w:w="1435"/>
        <w:gridCol w:w="1435"/>
        <w:gridCol w:w="1435"/>
        <w:gridCol w:w="1435"/>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标项名称</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标的名称</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品牌</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数量</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单价(元)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▲AR焊接实训箱</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为汉</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5</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28900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A60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DSP数字化手氩焊机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时代</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25</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9500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PNE60-400P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3</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DSP数字化气保焊机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时代</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24</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10500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A160-350P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4</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脉冲气保焊</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时代</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10500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TDN 3501MB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5</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全钢结构焊接工作间</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逆变智造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25</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7500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NB-GW25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6</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电控系统</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逆变智造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26</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3500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NB-DK(25+1)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7</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焊接平台</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逆变智造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26</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2500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NB-HP11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8</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焊机折叠架</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逆变智造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25</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1500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NB-HF200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9</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双链气瓶架</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逆变智造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25</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1000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NB-QP30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挂壁式工具箱</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逆变智造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25</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1500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NB-GJX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焊条烘干箱</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逆变智造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9500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NB-ZYH40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分体式集中烟尘净化设备</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逆变智造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125000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NB-1518F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13</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教学可视化系统</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逆变智造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92800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NBVR180°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14</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专业焊接照明灯</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逆变智造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25</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500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LED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15</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固定式磨机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逆变智造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6500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16</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小型数控等离子切割机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逆变智造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27500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NB-BD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17</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路由器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TP-link</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700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AC1200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18</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焊接文化建设</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逆变智造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300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19</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机械工程教学中心建设项目（焊接实训中心）</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实训室改造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逆变智造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5100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定制</w:t>
            </w:r>
          </w:p>
        </w:tc>
      </w:tr>
    </w:tbl>
    <w:p>
      <w:pPr>
        <w:keepNext w:val="0"/>
        <w:keepLines w:val="0"/>
        <w:widowControl/>
        <w:suppressLineNumbers w:val="0"/>
        <w:spacing w:line="300" w:lineRule="atLeast"/>
        <w:ind w:lef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lang w:val="en-US" w:eastAsia="zh-CN" w:bidi="ar"/>
        </w:rPr>
        <w:t> </w:t>
      </w:r>
    </w:p>
    <w:p>
      <w:pPr>
        <w:pStyle w:val="8"/>
        <w:keepNext w:val="0"/>
        <w:keepLines w:val="0"/>
        <w:widowControl/>
        <w:suppressLineNumbers w:val="0"/>
        <w:spacing w:before="255" w:beforeAutospacing="0" w:after="255" w:afterAutospacing="0" w:line="450" w:lineRule="atLeast"/>
        <w:ind w:left="0" w:right="0" w:firstLine="0"/>
        <w:jc w:val="both"/>
        <w:rPr>
          <w:rFonts w:hint="eastAsia" w:ascii="仿宋_GB2312" w:hAnsi="仿宋_GB2312" w:eastAsia="仿宋_GB2312" w:cs="仿宋_GB2312"/>
          <w:i w:val="0"/>
          <w:iCs w:val="0"/>
          <w:caps w:val="0"/>
          <w:color w:val="000000"/>
          <w:spacing w:val="0"/>
          <w:sz w:val="28"/>
          <w:szCs w:val="28"/>
        </w:rPr>
      </w:pPr>
      <w:r>
        <w:rPr>
          <w:rStyle w:val="13"/>
          <w:rFonts w:hint="eastAsia" w:ascii="仿宋_GB2312" w:hAnsi="仿宋_GB2312" w:eastAsia="仿宋_GB2312" w:cs="仿宋_GB2312"/>
          <w:i w:val="0"/>
          <w:iCs w:val="0"/>
          <w:caps w:val="0"/>
          <w:color w:val="000000"/>
          <w:spacing w:val="0"/>
          <w:sz w:val="28"/>
          <w:szCs w:val="28"/>
        </w:rPr>
        <w:t>五、评审专家（单一来源采购人员）名单：</w:t>
      </w:r>
      <w:r>
        <w:rPr>
          <w:rFonts w:hint="eastAsia" w:ascii="仿宋_GB2312" w:hAnsi="仿宋_GB2312" w:eastAsia="仿宋_GB2312" w:cs="仿宋_GB2312"/>
          <w:i w:val="0"/>
          <w:iCs w:val="0"/>
          <w:caps w:val="0"/>
          <w:color w:val="000000"/>
          <w:spacing w:val="0"/>
          <w:sz w:val="28"/>
          <w:szCs w:val="28"/>
        </w:rPr>
        <w:t>                    </w:t>
      </w:r>
    </w:p>
    <w:p>
      <w:pPr>
        <w:pStyle w:val="8"/>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罗承孝,钟少云,陈奕高,郑丰权,甘达淅(采购人代表)                     </w:t>
      </w:r>
    </w:p>
    <w:p>
      <w:pPr>
        <w:pStyle w:val="8"/>
        <w:keepNext w:val="0"/>
        <w:keepLines w:val="0"/>
        <w:widowControl/>
        <w:suppressLineNumbers w:val="0"/>
        <w:spacing w:before="255" w:beforeAutospacing="0" w:after="255" w:afterAutospacing="0" w:line="450" w:lineRule="atLeast"/>
        <w:ind w:left="0" w:right="0" w:firstLine="0"/>
        <w:jc w:val="both"/>
        <w:rPr>
          <w:rFonts w:hint="eastAsia" w:ascii="仿宋_GB2312" w:hAnsi="仿宋_GB2312" w:eastAsia="仿宋_GB2312" w:cs="仿宋_GB2312"/>
          <w:i w:val="0"/>
          <w:iCs w:val="0"/>
          <w:caps w:val="0"/>
          <w:color w:val="000000"/>
          <w:spacing w:val="0"/>
          <w:sz w:val="28"/>
          <w:szCs w:val="28"/>
        </w:rPr>
      </w:pPr>
      <w:r>
        <w:rPr>
          <w:rStyle w:val="13"/>
          <w:rFonts w:hint="eastAsia" w:ascii="仿宋_GB2312" w:hAnsi="仿宋_GB2312" w:eastAsia="仿宋_GB2312" w:cs="仿宋_GB2312"/>
          <w:i w:val="0"/>
          <w:iCs w:val="0"/>
          <w:caps w:val="0"/>
          <w:color w:val="000000"/>
          <w:spacing w:val="0"/>
          <w:sz w:val="28"/>
          <w:szCs w:val="28"/>
        </w:rPr>
        <w:t>六、代理服务收费标准及金额：</w:t>
      </w:r>
      <w:r>
        <w:rPr>
          <w:rFonts w:hint="eastAsia" w:ascii="仿宋_GB2312" w:hAnsi="仿宋_GB2312" w:eastAsia="仿宋_GB2312" w:cs="仿宋_GB2312"/>
          <w:i w:val="0"/>
          <w:iCs w:val="0"/>
          <w:caps w:val="0"/>
          <w:color w:val="000000"/>
          <w:spacing w:val="0"/>
          <w:sz w:val="28"/>
          <w:szCs w:val="28"/>
        </w:rPr>
        <w:t>                 </w:t>
      </w:r>
    </w:p>
    <w:p>
      <w:pPr>
        <w:pStyle w:val="8"/>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1.代理服务收费标准：按国家发展计划委员会计价格[2002]1980号《招标代理服务费管理暂行办法》收费标准及发改价格[2011]534号文的规定计取。代理服务费由中标人向采购代理机构支付。签订合同前，中标人应向采购代理机构一次付清代理服务费。                     </w:t>
      </w:r>
    </w:p>
    <w:p>
      <w:pPr>
        <w:pStyle w:val="8"/>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2.代理服务收费金额（元）：20484  </w:t>
      </w:r>
    </w:p>
    <w:p>
      <w:pPr>
        <w:pStyle w:val="8"/>
        <w:keepNext w:val="0"/>
        <w:keepLines w:val="0"/>
        <w:widowControl/>
        <w:suppressLineNumbers w:val="0"/>
        <w:spacing w:before="255" w:beforeAutospacing="0" w:after="255" w:afterAutospacing="0" w:line="450" w:lineRule="atLeast"/>
        <w:ind w:left="0" w:right="0" w:firstLine="0"/>
        <w:jc w:val="both"/>
        <w:rPr>
          <w:rFonts w:hint="eastAsia" w:ascii="仿宋_GB2312" w:hAnsi="仿宋_GB2312" w:eastAsia="仿宋_GB2312" w:cs="仿宋_GB2312"/>
          <w:i w:val="0"/>
          <w:iCs w:val="0"/>
          <w:caps w:val="0"/>
          <w:color w:val="000000"/>
          <w:spacing w:val="0"/>
          <w:sz w:val="28"/>
          <w:szCs w:val="28"/>
        </w:rPr>
      </w:pPr>
      <w:r>
        <w:rPr>
          <w:rStyle w:val="13"/>
          <w:rFonts w:hint="eastAsia" w:ascii="仿宋_GB2312" w:hAnsi="仿宋_GB2312" w:eastAsia="仿宋_GB2312" w:cs="仿宋_GB2312"/>
          <w:i w:val="0"/>
          <w:iCs w:val="0"/>
          <w:caps w:val="0"/>
          <w:color w:val="000000"/>
          <w:spacing w:val="0"/>
          <w:sz w:val="28"/>
          <w:szCs w:val="28"/>
        </w:rPr>
        <w:t>七、公告期限</w:t>
      </w:r>
      <w:r>
        <w:rPr>
          <w:rFonts w:hint="eastAsia" w:ascii="仿宋_GB2312" w:hAnsi="仿宋_GB2312" w:eastAsia="仿宋_GB2312" w:cs="仿宋_GB2312"/>
          <w:i w:val="0"/>
          <w:iCs w:val="0"/>
          <w:caps w:val="0"/>
          <w:color w:val="000000"/>
          <w:spacing w:val="0"/>
          <w:sz w:val="28"/>
          <w:szCs w:val="28"/>
        </w:rPr>
        <w:t>                    </w:t>
      </w:r>
    </w:p>
    <w:p>
      <w:pPr>
        <w:pStyle w:val="8"/>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自本公告发布之日起1个工作日。                    </w:t>
      </w:r>
    </w:p>
    <w:p>
      <w:pPr>
        <w:pStyle w:val="8"/>
        <w:keepNext w:val="0"/>
        <w:keepLines w:val="0"/>
        <w:widowControl/>
        <w:suppressLineNumbers w:val="0"/>
        <w:spacing w:before="255" w:beforeAutospacing="0" w:after="255" w:afterAutospacing="0" w:line="450" w:lineRule="atLeast"/>
        <w:ind w:left="0" w:right="0" w:firstLine="0"/>
        <w:jc w:val="both"/>
        <w:rPr>
          <w:rFonts w:hint="eastAsia" w:ascii="仿宋_GB2312" w:hAnsi="仿宋_GB2312" w:eastAsia="仿宋_GB2312" w:cs="仿宋_GB2312"/>
          <w:i w:val="0"/>
          <w:iCs w:val="0"/>
          <w:caps w:val="0"/>
          <w:color w:val="000000"/>
          <w:spacing w:val="0"/>
          <w:sz w:val="28"/>
          <w:szCs w:val="28"/>
        </w:rPr>
      </w:pPr>
      <w:r>
        <w:rPr>
          <w:rStyle w:val="13"/>
          <w:rFonts w:hint="eastAsia" w:ascii="仿宋_GB2312" w:hAnsi="仿宋_GB2312" w:eastAsia="仿宋_GB2312" w:cs="仿宋_GB2312"/>
          <w:i w:val="0"/>
          <w:iCs w:val="0"/>
          <w:caps w:val="0"/>
          <w:color w:val="000000"/>
          <w:spacing w:val="0"/>
          <w:sz w:val="28"/>
          <w:szCs w:val="28"/>
        </w:rPr>
        <w:t>八、其他补充事宜</w:t>
      </w:r>
      <w:r>
        <w:rPr>
          <w:rFonts w:hint="eastAsia" w:ascii="仿宋_GB2312" w:hAnsi="仿宋_GB2312" w:eastAsia="仿宋_GB2312" w:cs="仿宋_GB2312"/>
          <w:i w:val="0"/>
          <w:iCs w:val="0"/>
          <w:caps w:val="0"/>
          <w:color w:val="000000"/>
          <w:spacing w:val="0"/>
          <w:sz w:val="28"/>
          <w:szCs w:val="28"/>
        </w:rPr>
        <w:t>                   </w:t>
      </w:r>
    </w:p>
    <w:p>
      <w:pPr>
        <w:pStyle w:val="8"/>
        <w:keepNext w:val="0"/>
        <w:keepLines w:val="0"/>
        <w:widowControl/>
        <w:suppressLineNumbers w:val="0"/>
        <w:spacing w:before="75" w:beforeAutospacing="0" w:after="75" w:afterAutospacing="0" w:line="315" w:lineRule="atLeast"/>
        <w:ind w:left="0" w:right="0" w:firstLine="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供应商认为中标结果使自己的权益受到损害的，可以在中标结果公告期限届满之日起七个工作日内以书面形式向采购人柳州职业技术学院或受托代理机构广西涵坤项目管理有限公司提出质疑，逾期将不再受理。                       </w:t>
      </w:r>
    </w:p>
    <w:p>
      <w:pPr>
        <w:pStyle w:val="8"/>
        <w:keepNext w:val="0"/>
        <w:keepLines w:val="0"/>
        <w:widowControl/>
        <w:suppressLineNumbers w:val="0"/>
        <w:spacing w:before="255" w:beforeAutospacing="0" w:after="255" w:afterAutospacing="0" w:line="480" w:lineRule="atLeast"/>
        <w:ind w:left="0" w:right="0" w:firstLine="0"/>
        <w:jc w:val="both"/>
        <w:rPr>
          <w:rFonts w:hint="eastAsia" w:ascii="仿宋_GB2312" w:hAnsi="仿宋_GB2312" w:eastAsia="仿宋_GB2312" w:cs="仿宋_GB2312"/>
          <w:i w:val="0"/>
          <w:iCs w:val="0"/>
          <w:caps w:val="0"/>
          <w:color w:val="000000"/>
          <w:spacing w:val="0"/>
          <w:sz w:val="28"/>
          <w:szCs w:val="28"/>
        </w:rPr>
      </w:pPr>
      <w:r>
        <w:rPr>
          <w:rStyle w:val="13"/>
          <w:rFonts w:hint="eastAsia" w:ascii="仿宋_GB2312" w:hAnsi="仿宋_GB2312" w:eastAsia="仿宋_GB2312" w:cs="仿宋_GB2312"/>
          <w:i w:val="0"/>
          <w:iCs w:val="0"/>
          <w:caps w:val="0"/>
          <w:color w:val="000000"/>
          <w:spacing w:val="0"/>
          <w:sz w:val="28"/>
          <w:szCs w:val="28"/>
        </w:rPr>
        <w:t>九、对本次公告内容提出询问，请按以下方式联系</w:t>
      </w:r>
      <w:r>
        <w:rPr>
          <w:rFonts w:hint="eastAsia" w:ascii="仿宋_GB2312" w:hAnsi="仿宋_GB2312" w:eastAsia="仿宋_GB2312" w:cs="仿宋_GB2312"/>
          <w:i w:val="0"/>
          <w:iCs w:val="0"/>
          <w:caps w:val="0"/>
          <w:color w:val="000000"/>
          <w:spacing w:val="0"/>
          <w:sz w:val="28"/>
          <w:szCs w:val="28"/>
        </w:rPr>
        <w:t>　　　           </w:t>
      </w:r>
    </w:p>
    <w:p>
      <w:pPr>
        <w:pStyle w:val="8"/>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1.采购人信息           </w:t>
      </w:r>
    </w:p>
    <w:p>
      <w:pPr>
        <w:pStyle w:val="8"/>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名    称：柳州职业技术学院              </w:t>
      </w:r>
    </w:p>
    <w:p>
      <w:pPr>
        <w:pStyle w:val="8"/>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地    址：柳州市社湾路28号          </w:t>
      </w:r>
    </w:p>
    <w:p>
      <w:pPr>
        <w:pStyle w:val="8"/>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项目联系人：陈国银             </w:t>
      </w:r>
    </w:p>
    <w:p>
      <w:pPr>
        <w:pStyle w:val="8"/>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项目联系方式：0772-3156307           </w:t>
      </w:r>
    </w:p>
    <w:p>
      <w:pPr>
        <w:pStyle w:val="8"/>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2.采购代理机构信息            </w:t>
      </w:r>
    </w:p>
    <w:p>
      <w:pPr>
        <w:pStyle w:val="8"/>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名    称：广西涵坤项目管理有限公司             </w:t>
      </w:r>
    </w:p>
    <w:p>
      <w:pPr>
        <w:pStyle w:val="8"/>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地    址：柳州市鱼峰区新柳大道111号新城智埠（写字楼）6层605室                 </w:t>
      </w:r>
    </w:p>
    <w:p>
      <w:pPr>
        <w:pStyle w:val="8"/>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项目联系人：黄薇              </w:t>
      </w:r>
    </w:p>
    <w:p>
      <w:pPr>
        <w:pStyle w:val="8"/>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项目联系方式：0772-2632888 </w:t>
      </w:r>
    </w:p>
    <w:p>
      <w:pPr>
        <w:pStyle w:val="16"/>
        <w:rPr>
          <w:rFonts w:hint="eastAsia" w:ascii="仿宋_GB2312" w:hAnsi="仿宋_GB2312" w:eastAsia="仿宋_GB2312" w:cs="仿宋_GB2312"/>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2.">
    <w:altName w:val="黑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060D3"/>
    <w:multiLevelType w:val="multilevel"/>
    <w:tmpl w:val="395060D3"/>
    <w:lvl w:ilvl="0" w:tentative="0">
      <w:start w:val="1"/>
      <w:numFmt w:val="bullet"/>
      <w:pStyle w:val="2"/>
      <w:lvlText w:val=""/>
      <w:lvlJc w:val="left"/>
      <w:pPr>
        <w:tabs>
          <w:tab w:val="left" w:pos="562"/>
        </w:tabs>
        <w:ind w:left="562" w:hanging="420"/>
      </w:pPr>
      <w:rPr>
        <w:rFonts w:hint="default" w:ascii="Wingdings" w:hAnsi="Wingdings"/>
      </w:rPr>
    </w:lvl>
    <w:lvl w:ilvl="1" w:tentative="0">
      <w:start w:val="1"/>
      <w:numFmt w:val="bullet"/>
      <w:lvlText w:val=""/>
      <w:lvlJc w:val="left"/>
      <w:pPr>
        <w:tabs>
          <w:tab w:val="left" w:pos="982"/>
        </w:tabs>
        <w:ind w:left="982" w:hanging="420"/>
      </w:pPr>
      <w:rPr>
        <w:rFonts w:hint="default" w:ascii="Wingdings" w:hAnsi="Wingdings"/>
      </w:rPr>
    </w:lvl>
    <w:lvl w:ilvl="2" w:tentative="0">
      <w:start w:val="1"/>
      <w:numFmt w:val="bullet"/>
      <w:lvlText w:val=""/>
      <w:lvlJc w:val="left"/>
      <w:pPr>
        <w:tabs>
          <w:tab w:val="left" w:pos="1402"/>
        </w:tabs>
        <w:ind w:left="1402" w:hanging="420"/>
      </w:pPr>
      <w:rPr>
        <w:rFonts w:hint="default" w:ascii="Wingdings" w:hAnsi="Wingdings"/>
      </w:rPr>
    </w:lvl>
    <w:lvl w:ilvl="3" w:tentative="0">
      <w:start w:val="1"/>
      <w:numFmt w:val="bullet"/>
      <w:lvlText w:val=""/>
      <w:lvlJc w:val="left"/>
      <w:pPr>
        <w:tabs>
          <w:tab w:val="left" w:pos="1822"/>
        </w:tabs>
        <w:ind w:left="1822" w:hanging="420"/>
      </w:pPr>
      <w:rPr>
        <w:rFonts w:hint="default" w:ascii="Wingdings" w:hAnsi="Wingdings"/>
      </w:rPr>
    </w:lvl>
    <w:lvl w:ilvl="4" w:tentative="0">
      <w:start w:val="1"/>
      <w:numFmt w:val="bullet"/>
      <w:lvlText w:val=""/>
      <w:lvlJc w:val="left"/>
      <w:pPr>
        <w:tabs>
          <w:tab w:val="left" w:pos="2242"/>
        </w:tabs>
        <w:ind w:left="2242" w:hanging="420"/>
      </w:pPr>
      <w:rPr>
        <w:rFonts w:hint="default" w:ascii="Wingdings" w:hAnsi="Wingdings"/>
      </w:rPr>
    </w:lvl>
    <w:lvl w:ilvl="5" w:tentative="0">
      <w:start w:val="1"/>
      <w:numFmt w:val="bullet"/>
      <w:lvlText w:val=""/>
      <w:lvlJc w:val="left"/>
      <w:pPr>
        <w:tabs>
          <w:tab w:val="left" w:pos="2662"/>
        </w:tabs>
        <w:ind w:left="2662" w:hanging="420"/>
      </w:pPr>
      <w:rPr>
        <w:rFonts w:hint="default" w:ascii="Wingdings" w:hAnsi="Wingdings"/>
      </w:rPr>
    </w:lvl>
    <w:lvl w:ilvl="6" w:tentative="0">
      <w:start w:val="1"/>
      <w:numFmt w:val="bullet"/>
      <w:lvlText w:val=""/>
      <w:lvlJc w:val="left"/>
      <w:pPr>
        <w:tabs>
          <w:tab w:val="left" w:pos="3082"/>
        </w:tabs>
        <w:ind w:left="3082" w:hanging="420"/>
      </w:pPr>
      <w:rPr>
        <w:rFonts w:hint="default" w:ascii="Wingdings" w:hAnsi="Wingdings"/>
      </w:rPr>
    </w:lvl>
    <w:lvl w:ilvl="7" w:tentative="0">
      <w:start w:val="1"/>
      <w:numFmt w:val="bullet"/>
      <w:lvlText w:val=""/>
      <w:lvlJc w:val="left"/>
      <w:pPr>
        <w:tabs>
          <w:tab w:val="left" w:pos="3502"/>
        </w:tabs>
        <w:ind w:left="3502" w:hanging="420"/>
      </w:pPr>
      <w:rPr>
        <w:rFonts w:hint="default" w:ascii="Wingdings" w:hAnsi="Wingdings"/>
      </w:rPr>
    </w:lvl>
    <w:lvl w:ilvl="8" w:tentative="0">
      <w:start w:val="1"/>
      <w:numFmt w:val="bullet"/>
      <w:lvlText w:val=""/>
      <w:lvlJc w:val="left"/>
      <w:pPr>
        <w:tabs>
          <w:tab w:val="left" w:pos="3922"/>
        </w:tabs>
        <w:ind w:left="392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E08B1"/>
    <w:rsid w:val="005520BD"/>
    <w:rsid w:val="00657ED2"/>
    <w:rsid w:val="00730797"/>
    <w:rsid w:val="00747CDE"/>
    <w:rsid w:val="00943304"/>
    <w:rsid w:val="009535B6"/>
    <w:rsid w:val="00957B1A"/>
    <w:rsid w:val="00A75FE5"/>
    <w:rsid w:val="00B3786C"/>
    <w:rsid w:val="00EA5A06"/>
    <w:rsid w:val="00F3529B"/>
    <w:rsid w:val="00F54BB0"/>
    <w:rsid w:val="01752BCB"/>
    <w:rsid w:val="087D7438"/>
    <w:rsid w:val="11303EE3"/>
    <w:rsid w:val="154E3B6D"/>
    <w:rsid w:val="16454382"/>
    <w:rsid w:val="188734F6"/>
    <w:rsid w:val="1FF00A50"/>
    <w:rsid w:val="24CE08B1"/>
    <w:rsid w:val="2B8B2206"/>
    <w:rsid w:val="330909E3"/>
    <w:rsid w:val="439E5D06"/>
    <w:rsid w:val="448B2750"/>
    <w:rsid w:val="58D208AB"/>
    <w:rsid w:val="60CF09F7"/>
    <w:rsid w:val="716F6783"/>
    <w:rsid w:val="7B590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numPr>
        <w:ilvl w:val="0"/>
        <w:numId w:val="1"/>
      </w:numPr>
      <w:tabs>
        <w:tab w:val="left" w:pos="1800"/>
      </w:tabs>
      <w:spacing w:line="360" w:lineRule="auto"/>
    </w:pPr>
    <w:rPr>
      <w:rFonts w:ascii="宋体" w:hAnsi="宋体" w:cs="Arial"/>
      <w:szCs w:val="21"/>
    </w:rPr>
  </w:style>
  <w:style w:type="paragraph" w:styleId="4">
    <w:name w:val="annotation text"/>
    <w:basedOn w:val="1"/>
    <w:link w:val="20"/>
    <w:qFormat/>
    <w:uiPriority w:val="0"/>
    <w:pPr>
      <w:jc w:val="left"/>
    </w:pPr>
  </w:style>
  <w:style w:type="paragraph" w:styleId="5">
    <w:name w:val="Balloon Text"/>
    <w:basedOn w:val="1"/>
    <w:link w:val="19"/>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4"/>
    <w:next w:val="4"/>
    <w:link w:val="21"/>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
    <w:name w:val="表格文字"/>
    <w:basedOn w:val="1"/>
    <w:qFormat/>
    <w:uiPriority w:val="99"/>
    <w:pPr>
      <w:spacing w:before="25" w:after="25"/>
      <w:jc w:val="left"/>
    </w:pPr>
    <w:rPr>
      <w:bCs/>
      <w:spacing w:val="10"/>
      <w:kern w:val="0"/>
      <w:sz w:val="24"/>
    </w:rPr>
  </w:style>
  <w:style w:type="character" w:customStyle="1" w:styleId="17">
    <w:name w:val="页眉 字符"/>
    <w:basedOn w:val="12"/>
    <w:link w:val="7"/>
    <w:qFormat/>
    <w:uiPriority w:val="0"/>
    <w:rPr>
      <w:rFonts w:ascii="Times New Roman" w:hAnsi="Times New Roman"/>
      <w:kern w:val="2"/>
      <w:sz w:val="18"/>
      <w:szCs w:val="18"/>
    </w:rPr>
  </w:style>
  <w:style w:type="character" w:customStyle="1" w:styleId="18">
    <w:name w:val="页脚 字符"/>
    <w:basedOn w:val="12"/>
    <w:link w:val="6"/>
    <w:qFormat/>
    <w:uiPriority w:val="0"/>
    <w:rPr>
      <w:rFonts w:ascii="Times New Roman" w:hAnsi="Times New Roman"/>
      <w:kern w:val="2"/>
      <w:sz w:val="18"/>
      <w:szCs w:val="18"/>
    </w:rPr>
  </w:style>
  <w:style w:type="character" w:customStyle="1" w:styleId="19">
    <w:name w:val="批注框文本 字符"/>
    <w:basedOn w:val="12"/>
    <w:link w:val="5"/>
    <w:qFormat/>
    <w:uiPriority w:val="0"/>
    <w:rPr>
      <w:rFonts w:ascii="Times New Roman" w:hAnsi="Times New Roman"/>
      <w:kern w:val="2"/>
      <w:sz w:val="18"/>
      <w:szCs w:val="18"/>
    </w:rPr>
  </w:style>
  <w:style w:type="character" w:customStyle="1" w:styleId="20">
    <w:name w:val="批注文字 字符"/>
    <w:basedOn w:val="12"/>
    <w:link w:val="4"/>
    <w:qFormat/>
    <w:uiPriority w:val="0"/>
    <w:rPr>
      <w:rFonts w:ascii="Times New Roman" w:hAnsi="Times New Roman"/>
      <w:kern w:val="2"/>
      <w:sz w:val="21"/>
      <w:szCs w:val="21"/>
    </w:rPr>
  </w:style>
  <w:style w:type="character" w:customStyle="1" w:styleId="21">
    <w:name w:val="批注主题 字符"/>
    <w:basedOn w:val="20"/>
    <w:link w:val="9"/>
    <w:qFormat/>
    <w:uiPriority w:val="0"/>
    <w:rPr>
      <w:rFonts w:ascii="Times New Roman" w:hAnsi="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558</Words>
  <Characters>268</Characters>
  <Lines>2</Lines>
  <Paragraphs>1</Paragraphs>
  <TotalTime>32</TotalTime>
  <ScaleCrop>false</ScaleCrop>
  <LinksUpToDate>false</LinksUpToDate>
  <CharactersWithSpaces>825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2020-07-13T08:34:00Z</dcterms:created>
  <dc:creator>lulu</dc:creator>
  <cp:lastModifiedBy>HiWin10</cp:lastModifiedBy>
  <dcterms:modified xsi:type="dcterms:W3CDTF">2021-12-21T08:40:54Z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DED6BFCED8B34AC2AEAC89EE5A12E35D</vt:lpwstr>
  </property>
</Properties>
</file>