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40A83" w:rsidRDefault="001B3F25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C40A83" w:rsidRDefault="001B3F25">
      <w:pPr>
        <w:widowControl/>
        <w:spacing w:after="200" w:line="276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2021</w:t>
      </w:r>
      <w:r>
        <w:rPr>
          <w:rFonts w:ascii="Arial" w:hAnsi="Arial" w:cs="Arial" w:hint="eastAsia"/>
          <w:b/>
          <w:sz w:val="28"/>
          <w:szCs w:val="32"/>
        </w:rPr>
        <w:t>年电子期刊报纸询价采购公告</w:t>
      </w:r>
    </w:p>
    <w:p w:rsidR="00C40A83" w:rsidRPr="005104B0" w:rsidRDefault="001B3F25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kern w:val="0"/>
          <w:sz w:val="22"/>
          <w:szCs w:val="24"/>
          <w:lang w:bidi="en-US"/>
        </w:rPr>
        <w:t>LZY20-0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68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</w:t>
      </w:r>
      <w:r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5104B0">
        <w:rPr>
          <w:rFonts w:ascii="Arial" w:hAnsi="Arial" w:cs="Arial"/>
          <w:kern w:val="0"/>
          <w:sz w:val="22"/>
          <w:szCs w:val="24"/>
          <w:lang w:bidi="en-US"/>
        </w:rPr>
        <w:t>202</w:t>
      </w:r>
      <w:r w:rsidR="005104B0" w:rsidRPr="005104B0">
        <w:rPr>
          <w:rFonts w:ascii="Arial" w:hAnsi="Arial" w:cs="Arial" w:hint="eastAsia"/>
          <w:kern w:val="0"/>
          <w:sz w:val="22"/>
          <w:szCs w:val="24"/>
          <w:lang w:bidi="en-US"/>
        </w:rPr>
        <w:t>1-</w:t>
      </w:r>
      <w:r w:rsidR="005104B0">
        <w:rPr>
          <w:rFonts w:ascii="Arial" w:hAnsi="Arial" w:cs="Arial" w:hint="eastAsia"/>
          <w:kern w:val="0"/>
          <w:sz w:val="22"/>
          <w:szCs w:val="24"/>
          <w:lang w:bidi="en-US"/>
        </w:rPr>
        <w:t>12-3</w:t>
      </w:r>
      <w:r w:rsidR="006350E6">
        <w:rPr>
          <w:rFonts w:ascii="Arial" w:hAnsi="Arial" w:cs="Arial" w:hint="eastAsia"/>
          <w:kern w:val="0"/>
          <w:sz w:val="22"/>
          <w:szCs w:val="24"/>
          <w:lang w:bidi="en-US"/>
        </w:rPr>
        <w:t>0</w:t>
      </w:r>
    </w:p>
    <w:p w:rsidR="00C40A83" w:rsidRDefault="001B3F25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2021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年电子期刊报纸询价采购</w:t>
      </w:r>
    </w:p>
    <w:p w:rsidR="00C40A83" w:rsidRDefault="001B3F25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捌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玖仟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伍佰元整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8</w:t>
      </w:r>
      <w:r>
        <w:rPr>
          <w:rFonts w:ascii="Arial" w:hAnsi="Arial" w:cs="Arial"/>
          <w:kern w:val="0"/>
          <w:sz w:val="24"/>
          <w:szCs w:val="28"/>
          <w:lang w:bidi="en-US"/>
        </w:rPr>
        <w:t>9500.00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C40A83" w:rsidRDefault="001B3F25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C40A83" w:rsidRDefault="00C40A83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8897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26"/>
        <w:gridCol w:w="6237"/>
        <w:gridCol w:w="567"/>
        <w:gridCol w:w="851"/>
      </w:tblGrid>
      <w:tr w:rsidR="00C40A83">
        <w:trPr>
          <w:trHeight w:val="465"/>
        </w:trPr>
        <w:tc>
          <w:tcPr>
            <w:tcW w:w="616" w:type="dxa"/>
            <w:vAlign w:val="center"/>
          </w:tcPr>
          <w:p w:rsidR="00C40A83" w:rsidRDefault="001B3F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C40A83" w:rsidRDefault="001B3F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C40A83" w:rsidRDefault="001B3F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0A83" w:rsidRDefault="001B3F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0A83" w:rsidRDefault="001B3F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C40A83">
        <w:trPr>
          <w:trHeight w:val="849"/>
        </w:trPr>
        <w:tc>
          <w:tcPr>
            <w:tcW w:w="616" w:type="dxa"/>
            <w:vAlign w:val="center"/>
          </w:tcPr>
          <w:p w:rsidR="00C40A83" w:rsidRDefault="001B3F25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C40A83" w:rsidRDefault="001B3F25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/>
                <w:szCs w:val="21"/>
              </w:rPr>
              <w:t>期刊数据库服务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提供≥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7000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种期刊的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2021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年全文数据；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移动端需具备期刊全文下载，且支持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PDF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格式、流媒体格式；手机客户端需同时支持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ios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、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android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系统。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可提供高清晰、多种渠道阅读方式的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PDF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格式电子全文，文本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PDF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格式的期刊全文，可支持文字复制；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在线讨论交流，形成讨论共同体；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移动端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查看实名制期刊收藏人，并能在实现在线交流；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在线投稿，并可与期刊编辑部直接沟通。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端支持刊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种、文章需具备点赞、评论、赞赏功能，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且点赞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、评论、赞赏、阅读数据实时更新，支持对收藏期刊进行分类。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期刊全文转发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至交流群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中；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移动端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将期刊全文转发至微信、朋友圈等第三方社交媒体平台，并要标注期刊全文来源；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移动端转发至第三方平台后，不用安装移动客户端也能支持在线全文阅读；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端支持整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刊、单篇文章的一键收藏功能。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支持大数据分析为读者精准推送学科前沿内容。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PC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端的检索结果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按默认排序、主题排序、出版时间降序、出版时间升序、阅读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下载排序、引文量几种不同的排序来显示；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移动端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将期刊按照作者、学科分类、关键词、机构、地区、基金进行分类检索，检索结果可转发至平台内外，同时可按照发布日期、浏览量、下载量、被引量、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点赞数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、评论数排序。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支持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PC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端、手机、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Pad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、阅报机等多终端数据同步。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期刊除在自身数据库平台使用外，支持在数字图书馆门户首页的一站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式资源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检索框中检索并利用，形成多种数据资源的统一检索；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无并发数、无下载量限制。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服务期限：</w:t>
            </w:r>
            <w:r w:rsidR="000642BA"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自合同签订之日起</w:t>
            </w:r>
            <w:r w:rsidR="000642BA">
              <w:rPr>
                <w:rFonts w:hint="eastAsia"/>
              </w:rPr>
              <w:t>报价人即提供远程网络服务，服务期限：一年。</w:t>
            </w:r>
            <w:r w:rsidR="000642BA"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服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务期限内，</w:t>
            </w:r>
            <w:r w:rsidR="000642BA"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报价人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提供全免费上门维护，软件系统故障两个工作日内修复，硬件故障三个工作日内修复。如遇硬件故障不可修复，五个工作日内更换参数性能不低于同款硬件，费用全免。</w:t>
            </w:r>
          </w:p>
          <w:p w:rsidR="00C40A83" w:rsidRDefault="001B3F25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firstLineChars="0"/>
              <w:jc w:val="left"/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如因</w:t>
            </w:r>
            <w:r w:rsidR="000642BA"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报价</w:t>
            </w:r>
            <w:proofErr w:type="gramStart"/>
            <w:r w:rsidR="000642BA"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人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原因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导致本次采购的电子期刊暂时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可用，每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24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小时（满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8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小时计为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24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1"/>
              </w:rPr>
              <w:t>小时）则增加免费服务期限五日，以此类推。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0A83" w:rsidRDefault="001B3F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0A83" w:rsidRDefault="001B3F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套</w:t>
            </w:r>
          </w:p>
        </w:tc>
      </w:tr>
      <w:tr w:rsidR="00C40A83">
        <w:trPr>
          <w:trHeight w:val="946"/>
        </w:trPr>
        <w:tc>
          <w:tcPr>
            <w:tcW w:w="616" w:type="dxa"/>
            <w:vAlign w:val="center"/>
          </w:tcPr>
          <w:p w:rsidR="00C40A83" w:rsidRDefault="001B3F25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2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C40A83" w:rsidRDefault="001B3F25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报刊借阅系统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报刊借阅系统必须与本次采购的期刊数据库无缝对接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必须具备手机客户端应用，手机客户端是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报刊机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配套的手机端程序。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通过配套的手机客户端可以直接扫描报刊机上的期刊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二维码下载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期刊到手机等移动终端中阅读。手机客户端需同时支持</w:t>
            </w:r>
            <w:proofErr w:type="spellStart"/>
            <w:r>
              <w:rPr>
                <w:rFonts w:hint="eastAsia"/>
                <w:color w:val="000000" w:themeColor="text1"/>
                <w:szCs w:val="21"/>
              </w:rPr>
              <w:t>ios</w:t>
            </w:r>
            <w:proofErr w:type="spellEnd"/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android</w:t>
            </w:r>
            <w:r>
              <w:rPr>
                <w:rFonts w:hint="eastAsia"/>
                <w:color w:val="000000" w:themeColor="text1"/>
                <w:szCs w:val="21"/>
              </w:rPr>
              <w:t>系统。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4.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通过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微信等第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三方扫描工具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二维码扫描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，可提供直接在线阅读原版文本全文，无需下载客户端，并能将图书分享至朋友圈等社交网络。也可根据读者喜好自行选择下载客户端阅读。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报刊机内置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500</w:t>
            </w:r>
            <w:r>
              <w:rPr>
                <w:rFonts w:hint="eastAsia"/>
                <w:color w:val="000000" w:themeColor="text1"/>
                <w:szCs w:val="21"/>
              </w:rPr>
              <w:t>种正版授权的</w:t>
            </w:r>
            <w:r>
              <w:rPr>
                <w:rFonts w:hint="eastAsia"/>
                <w:color w:val="000000" w:themeColor="text1"/>
                <w:szCs w:val="21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>年电子期刊，移动终端阅读平台包含</w:t>
            </w:r>
            <w:r>
              <w:rPr>
                <w:rFonts w:hint="eastAsia"/>
                <w:color w:val="000000" w:themeColor="text1"/>
                <w:szCs w:val="21"/>
              </w:rPr>
              <w:t>7000</w:t>
            </w:r>
            <w:r>
              <w:rPr>
                <w:rFonts w:hint="eastAsia"/>
                <w:color w:val="000000" w:themeColor="text1"/>
                <w:szCs w:val="21"/>
              </w:rPr>
              <w:t>多种</w:t>
            </w:r>
            <w:r>
              <w:rPr>
                <w:rFonts w:hint="eastAsia"/>
                <w:color w:val="000000" w:themeColor="text1"/>
                <w:szCs w:val="21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>年学术期刊，且与原版期刊保持原貌一致，如相关图片、目录等，每月更新。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报刊机内期刊需包含《意林》、《读者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原创版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》、《艺术与设计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理论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》、《人民论坛》、《青年文学》、《中国财政》、《长江文艺》、《电影评介》等知名期刊</w:t>
            </w:r>
            <w:r>
              <w:rPr>
                <w:rFonts w:hint="eastAsia"/>
                <w:color w:val="000000" w:themeColor="text1"/>
                <w:szCs w:val="21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>年全文数据（网络实时更新）。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报刊机内置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种报纸</w:t>
            </w:r>
            <w:r>
              <w:rPr>
                <w:rFonts w:hint="eastAsia"/>
                <w:color w:val="000000" w:themeColor="text1"/>
                <w:szCs w:val="21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>年资源，移动端包含</w:t>
            </w:r>
            <w:r>
              <w:rPr>
                <w:rFonts w:hint="eastAsia"/>
                <w:color w:val="000000" w:themeColor="text1"/>
                <w:szCs w:val="21"/>
              </w:rPr>
              <w:t>300</w:t>
            </w:r>
            <w:r>
              <w:rPr>
                <w:rFonts w:hint="eastAsia"/>
                <w:color w:val="000000" w:themeColor="text1"/>
                <w:szCs w:val="21"/>
              </w:rPr>
              <w:t>多种全国主流报纸</w:t>
            </w:r>
            <w:r>
              <w:rPr>
                <w:rFonts w:hint="eastAsia"/>
                <w:color w:val="000000" w:themeColor="text1"/>
                <w:szCs w:val="21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>年资源（网络实时更新）。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报刊机内置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及移动端包含的报纸必须实时更新。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9.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报刊机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终端系统支持定制显示单位名称、</w:t>
            </w:r>
            <w:r>
              <w:rPr>
                <w:rFonts w:hint="eastAsia"/>
                <w:color w:val="000000" w:themeColor="text1"/>
                <w:szCs w:val="21"/>
              </w:rPr>
              <w:t>logo</w:t>
            </w:r>
            <w:r>
              <w:rPr>
                <w:rFonts w:hint="eastAsia"/>
                <w:color w:val="000000" w:themeColor="text1"/>
                <w:szCs w:val="21"/>
              </w:rPr>
              <w:t>、待机画面、二维码，可将购买单位的名称和</w:t>
            </w:r>
            <w:r>
              <w:rPr>
                <w:rFonts w:hint="eastAsia"/>
                <w:color w:val="000000" w:themeColor="text1"/>
                <w:szCs w:val="21"/>
              </w:rPr>
              <w:t>logo</w:t>
            </w:r>
            <w:r>
              <w:rPr>
                <w:rFonts w:hint="eastAsia"/>
                <w:color w:val="000000" w:themeColor="text1"/>
                <w:szCs w:val="21"/>
              </w:rPr>
              <w:t>配置到程序中。可任意修改待机画面，通过后台可进行相关待机画面修改，随时满足图书馆的通知要求。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10.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硬件参数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显示屏尺寸：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≥</w:t>
            </w:r>
            <w:r>
              <w:rPr>
                <w:rFonts w:hint="eastAsia"/>
                <w:color w:val="000000" w:themeColor="text1"/>
                <w:szCs w:val="21"/>
              </w:rPr>
              <w:t>43</w:t>
            </w:r>
            <w:r>
              <w:rPr>
                <w:rFonts w:hint="eastAsia"/>
                <w:color w:val="000000" w:themeColor="text1"/>
                <w:szCs w:val="21"/>
              </w:rPr>
              <w:t>寸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屏幕实际尺寸：≥</w:t>
            </w:r>
            <w:r>
              <w:rPr>
                <w:rFonts w:hint="eastAsia"/>
                <w:color w:val="000000" w:themeColor="text1"/>
                <w:szCs w:val="21"/>
              </w:rPr>
              <w:t>963mm</w:t>
            </w:r>
            <w:r>
              <w:rPr>
                <w:rFonts w:hint="eastAsia"/>
                <w:color w:val="000000" w:themeColor="text1"/>
                <w:szCs w:val="21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>567mm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屏幕类型：原装、高清、高亮、全视角、工业级</w:t>
            </w:r>
            <w:r>
              <w:rPr>
                <w:rFonts w:hint="eastAsia"/>
                <w:color w:val="000000" w:themeColor="text1"/>
                <w:szCs w:val="21"/>
              </w:rPr>
              <w:t>LED</w:t>
            </w:r>
            <w:r>
              <w:rPr>
                <w:rFonts w:hint="eastAsia"/>
                <w:color w:val="000000" w:themeColor="text1"/>
                <w:szCs w:val="21"/>
              </w:rPr>
              <w:t>液晶屏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分辨率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最高</w:t>
            </w:r>
            <w:r>
              <w:rPr>
                <w:rFonts w:hint="eastAsia"/>
                <w:color w:val="000000" w:themeColor="text1"/>
                <w:szCs w:val="21"/>
              </w:rPr>
              <w:t>1920</w:t>
            </w:r>
            <w:r>
              <w:rPr>
                <w:rFonts w:hint="eastAsia"/>
                <w:color w:val="000000" w:themeColor="text1"/>
                <w:szCs w:val="21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 xml:space="preserve">1080 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动态对比度：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ab/>
              <w:t>1400:1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可视角度：</w:t>
            </w:r>
            <w:r>
              <w:rPr>
                <w:rFonts w:hint="eastAsia"/>
                <w:color w:val="000000" w:themeColor="text1"/>
                <w:szCs w:val="21"/>
              </w:rPr>
              <w:tab/>
              <w:t>89</w:t>
            </w:r>
            <w:r>
              <w:rPr>
                <w:rFonts w:hint="eastAsia"/>
                <w:color w:val="000000" w:themeColor="text1"/>
                <w:szCs w:val="21"/>
              </w:rPr>
              <w:t>°</w:t>
            </w:r>
            <w:r>
              <w:rPr>
                <w:rFonts w:hint="eastAsia"/>
                <w:color w:val="000000" w:themeColor="text1"/>
                <w:szCs w:val="21"/>
              </w:rPr>
              <w:t>/89</w:t>
            </w:r>
            <w:r>
              <w:rPr>
                <w:rFonts w:hint="eastAsia"/>
                <w:color w:val="000000" w:themeColor="text1"/>
                <w:szCs w:val="21"/>
              </w:rPr>
              <w:t>°</w:t>
            </w:r>
            <w:r>
              <w:rPr>
                <w:rFonts w:hint="eastAsia"/>
                <w:color w:val="000000" w:themeColor="text1"/>
                <w:szCs w:val="21"/>
              </w:rPr>
              <w:t>/89</w:t>
            </w:r>
            <w:r>
              <w:rPr>
                <w:rFonts w:hint="eastAsia"/>
                <w:color w:val="000000" w:themeColor="text1"/>
                <w:szCs w:val="21"/>
              </w:rPr>
              <w:t>°</w:t>
            </w:r>
            <w:r>
              <w:rPr>
                <w:rFonts w:hint="eastAsia"/>
                <w:color w:val="000000" w:themeColor="text1"/>
                <w:szCs w:val="21"/>
              </w:rPr>
              <w:t>/89</w:t>
            </w:r>
            <w:r>
              <w:rPr>
                <w:rFonts w:hint="eastAsia"/>
                <w:color w:val="000000" w:themeColor="text1"/>
                <w:szCs w:val="21"/>
              </w:rPr>
              <w:t>°</w:t>
            </w:r>
            <w:r>
              <w:rPr>
                <w:rFonts w:hint="eastAsia"/>
                <w:color w:val="000000" w:themeColor="text1"/>
                <w:szCs w:val="21"/>
              </w:rPr>
              <w:t>(L/R/U/D)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触摸分辨率：</w:t>
            </w:r>
            <w:r>
              <w:rPr>
                <w:rFonts w:hint="eastAsia"/>
                <w:color w:val="000000" w:themeColor="text1"/>
                <w:szCs w:val="21"/>
              </w:rPr>
              <w:t>32768</w:t>
            </w:r>
            <w:r>
              <w:rPr>
                <w:rFonts w:hint="eastAsia"/>
                <w:color w:val="000000" w:themeColor="text1"/>
                <w:szCs w:val="21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>32768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坐标输出：</w:t>
            </w:r>
            <w:r>
              <w:rPr>
                <w:rFonts w:hint="eastAsia"/>
                <w:color w:val="000000" w:themeColor="text1"/>
                <w:szCs w:val="21"/>
              </w:rPr>
              <w:t xml:space="preserve"> 4096 X 4096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通信方式：全速免驱</w:t>
            </w:r>
            <w:r>
              <w:rPr>
                <w:rFonts w:hint="eastAsia"/>
                <w:color w:val="000000" w:themeColor="text1"/>
                <w:szCs w:val="21"/>
              </w:rPr>
              <w:t>USB 2.0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触摸屏表面硬度：物理钢化莫氏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级防爆，无触摸压力要求</w:t>
            </w:r>
          </w:p>
          <w:p w:rsidR="00C40A83" w:rsidRDefault="001B3F2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保修政策：一年全免费保修。</w:t>
            </w:r>
          </w:p>
          <w:p w:rsidR="000642BA" w:rsidRPr="000642BA" w:rsidRDefault="001B3F25" w:rsidP="000642BA">
            <w:pPr>
              <w:adjustRightInd w:val="0"/>
              <w:snapToGrid w:val="0"/>
              <w:spacing w:line="240" w:lineRule="atLeast"/>
              <w:jc w:val="left"/>
              <w:rPr>
                <w:color w:val="000000" w:themeColor="text1"/>
                <w:szCs w:val="21"/>
              </w:rPr>
            </w:pPr>
            <w:r w:rsidRPr="000642BA">
              <w:rPr>
                <w:rFonts w:hint="eastAsia"/>
                <w:color w:val="000000" w:themeColor="text1"/>
                <w:szCs w:val="21"/>
              </w:rPr>
              <w:t>11.</w:t>
            </w:r>
            <w:r w:rsidR="000642BA" w:rsidRPr="000642BA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642BA" w:rsidRPr="000642BA">
              <w:rPr>
                <w:rFonts w:hint="eastAsia"/>
                <w:color w:val="000000" w:themeColor="text1"/>
                <w:szCs w:val="21"/>
              </w:rPr>
              <w:t>服务期限：自合同签订之日起</w:t>
            </w:r>
            <w:r w:rsidR="000642BA">
              <w:rPr>
                <w:rFonts w:hint="eastAsia"/>
              </w:rPr>
              <w:t>报价人即提供远程网络服务，服务期限：一年。</w:t>
            </w:r>
            <w:r w:rsidR="000642BA" w:rsidRPr="000642BA">
              <w:rPr>
                <w:rFonts w:hint="eastAsia"/>
                <w:color w:val="000000" w:themeColor="text1"/>
                <w:szCs w:val="21"/>
              </w:rPr>
              <w:t>服务期限内，报价人提供全免费上门维护，软件系统故障两个工作日内修复，硬件故障三个工作日内修复。如遇硬件故障不可修复，五个工作日内更换参数性能不低于同款硬件，费用全免。</w:t>
            </w:r>
          </w:p>
          <w:p w:rsidR="00C40A83" w:rsidRDefault="000642BA" w:rsidP="000642B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12.</w:t>
            </w:r>
            <w:r>
              <w:rPr>
                <w:rFonts w:hint="eastAsia"/>
                <w:color w:val="000000" w:themeColor="text1"/>
                <w:szCs w:val="21"/>
              </w:rPr>
              <w:t>如因报价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人原因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导致本次采购的电子期刊暂时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可用，每</w:t>
            </w:r>
            <w:r>
              <w:rPr>
                <w:rFonts w:hint="eastAsia"/>
                <w:color w:val="000000" w:themeColor="text1"/>
                <w:szCs w:val="21"/>
              </w:rPr>
              <w:t>24</w:t>
            </w:r>
            <w:r>
              <w:rPr>
                <w:rFonts w:hint="eastAsia"/>
                <w:color w:val="000000" w:themeColor="text1"/>
                <w:szCs w:val="21"/>
              </w:rPr>
              <w:t>小时（满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小时计为</w:t>
            </w:r>
            <w:r>
              <w:rPr>
                <w:rFonts w:hint="eastAsia"/>
                <w:color w:val="000000" w:themeColor="text1"/>
                <w:szCs w:val="21"/>
              </w:rPr>
              <w:t>24</w:t>
            </w:r>
            <w:r>
              <w:rPr>
                <w:rFonts w:hint="eastAsia"/>
                <w:color w:val="000000" w:themeColor="text1"/>
                <w:szCs w:val="21"/>
              </w:rPr>
              <w:t>小时）则增加免费服务期限五日，以此类推。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0A83" w:rsidRDefault="001B3F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0A83" w:rsidRDefault="001B3F25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套</w:t>
            </w:r>
          </w:p>
        </w:tc>
      </w:tr>
    </w:tbl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保证金缴纳及退还：合同签订前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日内，报价人必须向采购方缴纳履约保证金（保证金金额为中标金额的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），如报价人未能按合同约定履行合同的，采购方有权没收全部履约保证金，并按合同相关条款追究报价人责任。履约保证金在所有货物验收合格并交付使用后自动转为质量保证金，报价人在承</w:t>
      </w: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诺的质量保证期间能按售后服务承诺执行且货物无重大质量问题，则采购方在质量保证期满后十个工作日内将该质量保证金全部退回（不计息）。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保证金账户：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（请核对此账户是否正确）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时注明：××××项目，采购编号××××履约保证金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后报价人持银行回执复印件、合同到柳州职业技术学院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合同。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/>
          <w:kern w:val="0"/>
          <w:sz w:val="24"/>
          <w:szCs w:val="28"/>
        </w:rPr>
        <w:t>付款：</w:t>
      </w:r>
      <w:r>
        <w:rPr>
          <w:rFonts w:ascii="Arial" w:eastAsia="宋体" w:hAnsi="Arial" w:cs="Arial" w:hint="eastAsia"/>
          <w:kern w:val="0"/>
          <w:sz w:val="24"/>
          <w:szCs w:val="28"/>
        </w:rPr>
        <w:t>本项目合同签署后，报价人即可对软硬件系统进行安装（开通软件使用权限、安装调试硬件），直至本项目标的全部能按要求正常使用。合同中所有货物全部安装调试完毕验收合格交付给采购方使用后，由采购方组织验收，验收通过后，报价人开具全额正式发票，采购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方收到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发票后在</w:t>
      </w:r>
      <w:r>
        <w:rPr>
          <w:rFonts w:ascii="Arial" w:eastAsia="宋体" w:hAnsi="Arial" w:cs="Arial" w:hint="eastAsia"/>
          <w:kern w:val="0"/>
          <w:sz w:val="24"/>
          <w:szCs w:val="28"/>
        </w:rPr>
        <w:t>10</w:t>
      </w:r>
      <w:r>
        <w:rPr>
          <w:rFonts w:ascii="Arial" w:eastAsia="宋体" w:hAnsi="Arial" w:cs="Arial" w:hint="eastAsia"/>
          <w:kern w:val="0"/>
          <w:sz w:val="24"/>
          <w:szCs w:val="28"/>
        </w:rPr>
        <w:t>个工作日内给付合同金额的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100%</w:t>
      </w:r>
      <w:r>
        <w:rPr>
          <w:rFonts w:ascii="Arial" w:eastAsia="宋体" w:hAnsi="Arial" w:cs="Arial" w:hint="eastAsia"/>
          <w:kern w:val="0"/>
          <w:sz w:val="24"/>
          <w:szCs w:val="28"/>
        </w:rPr>
        <w:t>款项。以上工作日如遇采购方假期则顺延。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r w:rsidR="001D161C">
        <w:rPr>
          <w:rFonts w:ascii="Arial" w:eastAsia="宋体" w:hAnsi="Arial" w:cs="Arial" w:hint="eastAsia"/>
          <w:kern w:val="0"/>
          <w:sz w:val="24"/>
          <w:szCs w:val="28"/>
        </w:rPr>
        <w:t>合同</w:t>
      </w:r>
      <w:r w:rsidR="001D161C">
        <w:rPr>
          <w:rFonts w:ascii="Arial" w:eastAsia="宋体" w:hAnsi="Arial" w:cs="Arial"/>
          <w:kern w:val="0"/>
          <w:sz w:val="24"/>
          <w:szCs w:val="28"/>
        </w:rPr>
        <w:t>签订之日起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内验收合格并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586023">
        <w:rPr>
          <w:rFonts w:ascii="Arial" w:eastAsia="宋体" w:hAnsi="Arial" w:cs="Arial"/>
          <w:kern w:val="0"/>
          <w:sz w:val="24"/>
          <w:szCs w:val="28"/>
        </w:rPr>
        <w:t>202</w:t>
      </w:r>
      <w:r w:rsidR="005104B0" w:rsidRPr="00586023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Pr="00586023">
        <w:rPr>
          <w:rFonts w:ascii="Arial" w:eastAsia="宋体" w:hAnsi="Arial" w:cs="Arial"/>
          <w:kern w:val="0"/>
          <w:sz w:val="24"/>
          <w:szCs w:val="28"/>
        </w:rPr>
        <w:t>年</w:t>
      </w:r>
      <w:r w:rsidRPr="00586023">
        <w:rPr>
          <w:rFonts w:ascii="Arial" w:eastAsia="宋体" w:hAnsi="Arial" w:cs="Arial"/>
          <w:kern w:val="0"/>
          <w:sz w:val="24"/>
          <w:szCs w:val="28"/>
        </w:rPr>
        <w:t>1</w:t>
      </w:r>
      <w:r w:rsidRPr="00586023">
        <w:rPr>
          <w:rFonts w:ascii="Arial" w:eastAsia="宋体" w:hAnsi="Arial" w:cs="Arial"/>
          <w:kern w:val="0"/>
          <w:sz w:val="24"/>
          <w:szCs w:val="28"/>
        </w:rPr>
        <w:t>月</w:t>
      </w:r>
      <w:r w:rsidR="005104B0" w:rsidRPr="00586023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586023">
        <w:rPr>
          <w:rFonts w:ascii="Arial" w:eastAsia="宋体" w:hAnsi="Arial" w:cs="Arial"/>
          <w:kern w:val="0"/>
          <w:sz w:val="24"/>
          <w:szCs w:val="28"/>
        </w:rPr>
        <w:t>日</w:t>
      </w:r>
      <w:r w:rsidRPr="00586023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586023">
        <w:rPr>
          <w:rFonts w:ascii="Arial" w:eastAsia="宋体" w:hAnsi="Arial" w:cs="Arial"/>
          <w:kern w:val="0"/>
          <w:sz w:val="24"/>
          <w:szCs w:val="28"/>
        </w:rPr>
        <w:t>午</w:t>
      </w:r>
      <w:r w:rsidRPr="00586023"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Pr="00586023">
        <w:rPr>
          <w:rFonts w:ascii="Arial" w:eastAsia="宋体" w:hAnsi="Arial" w:cs="Arial"/>
          <w:kern w:val="0"/>
          <w:sz w:val="24"/>
          <w:szCs w:val="28"/>
        </w:rPr>
        <w:t>:</w:t>
      </w:r>
      <w:r w:rsidRPr="00586023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586023">
        <w:rPr>
          <w:rFonts w:ascii="Arial" w:eastAsia="宋体" w:hAnsi="Arial" w:cs="Arial"/>
          <w:kern w:val="0"/>
          <w:sz w:val="24"/>
          <w:szCs w:val="28"/>
        </w:rPr>
        <w:t>0</w:t>
      </w:r>
      <w:r w:rsidRPr="00586023">
        <w:rPr>
          <w:rFonts w:ascii="Arial" w:eastAsia="宋体" w:hAnsi="Arial" w:cs="Arial"/>
          <w:kern w:val="0"/>
          <w:sz w:val="24"/>
          <w:szCs w:val="28"/>
        </w:rPr>
        <w:t>至</w:t>
      </w:r>
      <w:r w:rsidRPr="00586023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586023">
        <w:rPr>
          <w:rFonts w:ascii="Arial" w:eastAsia="宋体" w:hAnsi="Arial" w:cs="Arial"/>
          <w:kern w:val="0"/>
          <w:sz w:val="24"/>
          <w:szCs w:val="28"/>
        </w:rPr>
        <w:t>:</w:t>
      </w:r>
      <w:r w:rsidRPr="00586023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586023"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13768899200</w:t>
      </w:r>
      <w:r>
        <w:rPr>
          <w:rFonts w:ascii="Arial" w:eastAsia="宋体" w:hAnsi="Arial" w:cs="Arial" w:hint="eastAsia"/>
          <w:kern w:val="0"/>
          <w:sz w:val="24"/>
          <w:szCs w:val="28"/>
        </w:rPr>
        <w:t>，邓老师。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C40A83" w:rsidRDefault="001B3F25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C40A83" w:rsidRDefault="001B3F25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C40A83" w:rsidRPr="005104B0" w:rsidRDefault="001B3F25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5104B0">
        <w:rPr>
          <w:rFonts w:ascii="Arial" w:hAnsi="Arial" w:cs="Arial"/>
          <w:sz w:val="24"/>
          <w:szCs w:val="24"/>
        </w:rPr>
        <w:t xml:space="preserve"> 2020</w:t>
      </w:r>
      <w:r w:rsidRPr="005104B0">
        <w:rPr>
          <w:rFonts w:ascii="Arial" w:hAnsi="Arial" w:cs="Arial"/>
          <w:sz w:val="24"/>
          <w:szCs w:val="24"/>
        </w:rPr>
        <w:t>年</w:t>
      </w:r>
      <w:r w:rsidRPr="005104B0">
        <w:rPr>
          <w:rFonts w:ascii="Arial" w:hAnsi="Arial" w:cs="Arial" w:hint="eastAsia"/>
          <w:sz w:val="24"/>
          <w:szCs w:val="24"/>
        </w:rPr>
        <w:t>12</w:t>
      </w:r>
      <w:r w:rsidRPr="005104B0">
        <w:rPr>
          <w:rFonts w:ascii="Arial" w:hAnsi="Arial" w:cs="Arial"/>
          <w:sz w:val="24"/>
          <w:szCs w:val="24"/>
        </w:rPr>
        <w:t>月</w:t>
      </w:r>
      <w:r w:rsidR="005104B0" w:rsidRPr="005104B0">
        <w:rPr>
          <w:rFonts w:ascii="Arial" w:hAnsi="Arial" w:cs="Arial" w:hint="eastAsia"/>
          <w:sz w:val="24"/>
          <w:szCs w:val="24"/>
        </w:rPr>
        <w:t>3</w:t>
      </w:r>
      <w:r w:rsidR="006350E6">
        <w:rPr>
          <w:rFonts w:ascii="Arial" w:hAnsi="Arial" w:cs="Arial" w:hint="eastAsia"/>
          <w:sz w:val="24"/>
          <w:szCs w:val="24"/>
        </w:rPr>
        <w:t>0</w:t>
      </w:r>
      <w:r w:rsidRPr="005104B0">
        <w:rPr>
          <w:rFonts w:ascii="Arial" w:hAnsi="Arial" w:cs="Arial"/>
          <w:sz w:val="24"/>
          <w:szCs w:val="24"/>
        </w:rPr>
        <w:t>日</w:t>
      </w:r>
    </w:p>
    <w:p w:rsidR="00C40A83" w:rsidRDefault="00C40A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C40A83" w:rsidRDefault="00C40A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C40A83" w:rsidRDefault="00C40A83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171D97" w:rsidRDefault="00171D97" w:rsidP="00171D97">
      <w:pPr>
        <w:pStyle w:val="a7"/>
        <w:ind w:left="5250"/>
      </w:pPr>
    </w:p>
    <w:p w:rsidR="00171D97" w:rsidRDefault="00171D97" w:rsidP="00171D97"/>
    <w:p w:rsidR="00171D97" w:rsidRPr="00171D97" w:rsidRDefault="00171D97" w:rsidP="00171D97">
      <w:pPr>
        <w:pStyle w:val="a0"/>
      </w:pPr>
    </w:p>
    <w:p w:rsidR="00C40A83" w:rsidRDefault="001B3F2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C40A83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C40A83" w:rsidRDefault="001B3F25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品牌、规格型号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C40A83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C40A83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C40A83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C40A83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C40A83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C40A83" w:rsidRDefault="001B3F25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C40A83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83" w:rsidRDefault="001B3F25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C40A83" w:rsidRDefault="00C40A83">
      <w:pPr>
        <w:spacing w:line="276" w:lineRule="auto"/>
        <w:jc w:val="left"/>
        <w:rPr>
          <w:rFonts w:ascii="Arial" w:hAnsi="Arial" w:cs="Arial"/>
        </w:rPr>
      </w:pPr>
    </w:p>
    <w:p w:rsidR="00C40A83" w:rsidRDefault="00C40A83">
      <w:pPr>
        <w:spacing w:line="276" w:lineRule="auto"/>
        <w:jc w:val="left"/>
        <w:rPr>
          <w:rFonts w:ascii="Arial" w:hAnsi="Arial" w:cs="Arial"/>
        </w:rPr>
      </w:pPr>
    </w:p>
    <w:p w:rsidR="00C40A83" w:rsidRDefault="001B3F2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C40A83" w:rsidRDefault="001B3F25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C40A83" w:rsidRDefault="001B3F2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C40A83" w:rsidRDefault="001B3F25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C40A83" w:rsidRDefault="00C40A83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C40A83" w:rsidRDefault="001B3F25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C40A83" w:rsidRDefault="001B3F25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C40A83" w:rsidRDefault="001B3F25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C40A83" w:rsidRDefault="001B3F25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C40A83" w:rsidRDefault="001B3F25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C40A83" w:rsidRDefault="00C40A83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C40A83" w:rsidRDefault="001B3F25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C40A83" w:rsidRDefault="00C40A83">
      <w:pPr>
        <w:ind w:firstLine="540"/>
        <w:rPr>
          <w:rFonts w:ascii="Arial" w:hAnsi="Arial" w:cs="Arial"/>
          <w:sz w:val="28"/>
          <w:szCs w:val="28"/>
        </w:rPr>
      </w:pPr>
    </w:p>
    <w:sectPr w:rsidR="00C40A83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6B56E8" w15:done="0"/>
  <w15:commentEx w15:paraId="3F5D1059" w15:done="0"/>
  <w15:commentEx w15:paraId="69E449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1006"/>
    <w:multiLevelType w:val="multilevel"/>
    <w:tmpl w:val="270B1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  <w:sz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iWin10">
    <w15:presenceInfo w15:providerId="None" w15:userId="HiWin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0A23"/>
    <w:rsid w:val="00045AED"/>
    <w:rsid w:val="000642BA"/>
    <w:rsid w:val="00075820"/>
    <w:rsid w:val="00093CB1"/>
    <w:rsid w:val="000953CA"/>
    <w:rsid w:val="000C12D4"/>
    <w:rsid w:val="000E7B28"/>
    <w:rsid w:val="00103A4C"/>
    <w:rsid w:val="00125DE1"/>
    <w:rsid w:val="0012671D"/>
    <w:rsid w:val="00134FBB"/>
    <w:rsid w:val="00137857"/>
    <w:rsid w:val="00152DC6"/>
    <w:rsid w:val="00161A9C"/>
    <w:rsid w:val="00171D97"/>
    <w:rsid w:val="001B3F25"/>
    <w:rsid w:val="001B5FA5"/>
    <w:rsid w:val="001D161C"/>
    <w:rsid w:val="00203DD2"/>
    <w:rsid w:val="00245A85"/>
    <w:rsid w:val="00246D7E"/>
    <w:rsid w:val="00273956"/>
    <w:rsid w:val="003005C7"/>
    <w:rsid w:val="0030612C"/>
    <w:rsid w:val="00350DD9"/>
    <w:rsid w:val="003517AE"/>
    <w:rsid w:val="00366B25"/>
    <w:rsid w:val="003A560C"/>
    <w:rsid w:val="003C6AF5"/>
    <w:rsid w:val="003D4393"/>
    <w:rsid w:val="003D6112"/>
    <w:rsid w:val="003F6C1B"/>
    <w:rsid w:val="003F7644"/>
    <w:rsid w:val="004014AA"/>
    <w:rsid w:val="00412759"/>
    <w:rsid w:val="004215D2"/>
    <w:rsid w:val="00422123"/>
    <w:rsid w:val="00435A85"/>
    <w:rsid w:val="00473999"/>
    <w:rsid w:val="004808DC"/>
    <w:rsid w:val="00481096"/>
    <w:rsid w:val="00484983"/>
    <w:rsid w:val="004A144E"/>
    <w:rsid w:val="004B5D6F"/>
    <w:rsid w:val="004D39AE"/>
    <w:rsid w:val="004F4853"/>
    <w:rsid w:val="005104B0"/>
    <w:rsid w:val="00585408"/>
    <w:rsid w:val="00586023"/>
    <w:rsid w:val="00591B20"/>
    <w:rsid w:val="005A28E4"/>
    <w:rsid w:val="005A2C42"/>
    <w:rsid w:val="005C0A72"/>
    <w:rsid w:val="005E3375"/>
    <w:rsid w:val="005E6B06"/>
    <w:rsid w:val="00603CC7"/>
    <w:rsid w:val="00616981"/>
    <w:rsid w:val="0062050A"/>
    <w:rsid w:val="006350E6"/>
    <w:rsid w:val="00646167"/>
    <w:rsid w:val="00664795"/>
    <w:rsid w:val="006647CD"/>
    <w:rsid w:val="006E2BDF"/>
    <w:rsid w:val="006F2FBB"/>
    <w:rsid w:val="00704EEE"/>
    <w:rsid w:val="00771256"/>
    <w:rsid w:val="00787A90"/>
    <w:rsid w:val="007A0613"/>
    <w:rsid w:val="007D5135"/>
    <w:rsid w:val="007F67CC"/>
    <w:rsid w:val="00804F65"/>
    <w:rsid w:val="0083495B"/>
    <w:rsid w:val="008450BD"/>
    <w:rsid w:val="00853E6F"/>
    <w:rsid w:val="00870FEB"/>
    <w:rsid w:val="00893A92"/>
    <w:rsid w:val="00895149"/>
    <w:rsid w:val="008A0FDD"/>
    <w:rsid w:val="008D0B02"/>
    <w:rsid w:val="008E0AA6"/>
    <w:rsid w:val="009225D0"/>
    <w:rsid w:val="00927722"/>
    <w:rsid w:val="00930FD2"/>
    <w:rsid w:val="009375BE"/>
    <w:rsid w:val="009679C4"/>
    <w:rsid w:val="009814D2"/>
    <w:rsid w:val="009B316D"/>
    <w:rsid w:val="009B3B70"/>
    <w:rsid w:val="009D231C"/>
    <w:rsid w:val="00A02E6E"/>
    <w:rsid w:val="00A05B62"/>
    <w:rsid w:val="00A5798F"/>
    <w:rsid w:val="00A8015A"/>
    <w:rsid w:val="00A83FC6"/>
    <w:rsid w:val="00AA101B"/>
    <w:rsid w:val="00AB4824"/>
    <w:rsid w:val="00AE5463"/>
    <w:rsid w:val="00AF51C0"/>
    <w:rsid w:val="00B02F55"/>
    <w:rsid w:val="00B300A6"/>
    <w:rsid w:val="00B3500A"/>
    <w:rsid w:val="00B4712E"/>
    <w:rsid w:val="00B766AF"/>
    <w:rsid w:val="00B8021B"/>
    <w:rsid w:val="00B936BD"/>
    <w:rsid w:val="00BC0B42"/>
    <w:rsid w:val="00C40A83"/>
    <w:rsid w:val="00C50501"/>
    <w:rsid w:val="00C608B4"/>
    <w:rsid w:val="00CB1097"/>
    <w:rsid w:val="00CF1EE1"/>
    <w:rsid w:val="00D03F87"/>
    <w:rsid w:val="00D129E7"/>
    <w:rsid w:val="00D137C2"/>
    <w:rsid w:val="00D21FA4"/>
    <w:rsid w:val="00D749F4"/>
    <w:rsid w:val="00D82128"/>
    <w:rsid w:val="00D92898"/>
    <w:rsid w:val="00DA2853"/>
    <w:rsid w:val="00DB0D74"/>
    <w:rsid w:val="00DB7047"/>
    <w:rsid w:val="00DD299E"/>
    <w:rsid w:val="00DD2AF4"/>
    <w:rsid w:val="00E55527"/>
    <w:rsid w:val="00E70646"/>
    <w:rsid w:val="00E74FE3"/>
    <w:rsid w:val="00E77FD4"/>
    <w:rsid w:val="00E90DF6"/>
    <w:rsid w:val="00EC56FB"/>
    <w:rsid w:val="00F03524"/>
    <w:rsid w:val="00F2656E"/>
    <w:rsid w:val="00F4249E"/>
    <w:rsid w:val="00F53703"/>
    <w:rsid w:val="00F63FF7"/>
    <w:rsid w:val="00FA0419"/>
    <w:rsid w:val="00FA7639"/>
    <w:rsid w:val="00FB204B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36A7717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纯文本 Char"/>
    <w:basedOn w:val="a1"/>
    <w:link w:val="a6"/>
    <w:rPr>
      <w:rFonts w:ascii="宋体" w:eastAsiaTheme="minorEastAsia" w:hAnsi="Courier New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纯文本 Char"/>
    <w:basedOn w:val="a1"/>
    <w:link w:val="a6"/>
    <w:rPr>
      <w:rFonts w:ascii="宋体" w:eastAsiaTheme="minorEastAsia" w:hAnsi="Courier New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580</Words>
  <Characters>3309</Characters>
  <Application>Microsoft Office Word</Application>
  <DocSecurity>0</DocSecurity>
  <Lines>27</Lines>
  <Paragraphs>7</Paragraphs>
  <ScaleCrop>false</ScaleCrop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6</cp:revision>
  <dcterms:created xsi:type="dcterms:W3CDTF">2020-12-29T07:08:00Z</dcterms:created>
  <dcterms:modified xsi:type="dcterms:W3CDTF">2020-12-30T07:30:00Z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