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rPr>
          <w:rFonts w:ascii="Arial" w:hAnsi="Arial" w:cs="Arial"/>
        </w:rPr>
      </w:pPr>
    </w:p>
    <w:p>
      <w:pPr>
        <w:autoSpaceDE w:val="0"/>
        <w:autoSpaceDN w:val="0"/>
        <w:jc w:val="center"/>
        <w:rPr>
          <w:rFonts w:ascii="Arial" w:hAnsi="Arial" w:cs="Arial"/>
          <w:b/>
          <w:bCs/>
          <w:sz w:val="36"/>
          <w:szCs w:val="36"/>
        </w:rPr>
      </w:pPr>
      <w:r>
        <w:rPr>
          <w:rFonts w:ascii="Arial" w:hAnsi="Arial" w:cs="Arial"/>
          <w:b/>
          <w:bCs/>
          <w:sz w:val="36"/>
          <w:szCs w:val="36"/>
        </w:rPr>
        <w:t>柳州职业技术学院</w:t>
      </w:r>
    </w:p>
    <w:p>
      <w:pPr>
        <w:autoSpaceDE w:val="0"/>
        <w:autoSpaceDN w:val="0"/>
        <w:jc w:val="center"/>
        <w:rPr>
          <w:rFonts w:ascii="Arial" w:hAnsi="Arial" w:cs="Arial"/>
          <w:b/>
          <w:bCs/>
          <w:sz w:val="36"/>
          <w:szCs w:val="36"/>
        </w:rPr>
      </w:pPr>
      <w:r>
        <w:rPr>
          <w:rFonts w:ascii="Arial" w:hAnsi="Arial" w:cs="Arial"/>
          <w:b/>
          <w:bCs/>
          <w:sz w:val="36"/>
          <w:szCs w:val="36"/>
        </w:rPr>
        <w:t>环食学院竞择楼8楼实训室监控系统询价采购</w:t>
      </w:r>
      <w:r>
        <w:rPr>
          <w:rFonts w:ascii="Arial" w:hAnsi="Arial" w:cs="Arial"/>
          <w:b/>
          <w:sz w:val="36"/>
          <w:szCs w:val="36"/>
        </w:rPr>
        <w:t>公告</w:t>
      </w:r>
    </w:p>
    <w:p>
      <w:pPr>
        <w:widowControl/>
        <w:spacing w:after="200" w:line="276" w:lineRule="auto"/>
        <w:jc w:val="left"/>
        <w:rPr>
          <w:rFonts w:hint="default" w:ascii="Arial" w:hAnsi="Arial" w:eastAsia="宋体" w:cs="Arial"/>
          <w:kern w:val="0"/>
          <w:sz w:val="24"/>
          <w:szCs w:val="24"/>
          <w:lang w:val="en-US" w:eastAsia="zh-CN" w:bidi="en-US"/>
        </w:rPr>
      </w:pPr>
      <w:r>
        <w:rPr>
          <w:rFonts w:ascii="Arial" w:hAnsi="Arial" w:cs="Arial"/>
          <w:kern w:val="0"/>
          <w:sz w:val="24"/>
          <w:szCs w:val="24"/>
          <w:lang w:bidi="en-US"/>
        </w:rPr>
        <w:t>采购编号：LZY20-0</w:t>
      </w:r>
      <w:r>
        <w:rPr>
          <w:rFonts w:hint="eastAsia" w:ascii="Arial" w:hAnsi="Arial" w:cs="Arial"/>
          <w:kern w:val="0"/>
          <w:sz w:val="24"/>
          <w:szCs w:val="24"/>
          <w:lang w:bidi="en-US"/>
        </w:rPr>
        <w:t>4</w:t>
      </w:r>
      <w:r>
        <w:rPr>
          <w:rFonts w:hint="eastAsia" w:ascii="Arial" w:hAnsi="Arial" w:cs="Arial"/>
          <w:kern w:val="0"/>
          <w:sz w:val="24"/>
          <w:szCs w:val="24"/>
          <w:lang w:val="en-US" w:eastAsia="zh-CN" w:bidi="en-US"/>
        </w:rPr>
        <w:t>1</w:t>
      </w:r>
      <w:r>
        <w:rPr>
          <w:rFonts w:ascii="Arial" w:hAnsi="Arial" w:cs="Arial"/>
          <w:kern w:val="0"/>
          <w:sz w:val="24"/>
          <w:szCs w:val="24"/>
          <w:lang w:bidi="en-US"/>
        </w:rPr>
        <w:t xml:space="preserve">                              发布日期：2020-9-</w:t>
      </w:r>
      <w:r>
        <w:rPr>
          <w:rFonts w:hint="eastAsia" w:ascii="Arial" w:hAnsi="Arial" w:cs="Arial"/>
          <w:kern w:val="0"/>
          <w:sz w:val="24"/>
          <w:szCs w:val="24"/>
          <w:lang w:val="en-US" w:eastAsia="zh-CN" w:bidi="en-US"/>
        </w:rPr>
        <w:t>22</w:t>
      </w:r>
    </w:p>
    <w:p>
      <w:pPr>
        <w:widowControl/>
        <w:spacing w:after="200" w:line="276" w:lineRule="auto"/>
        <w:jc w:val="left"/>
        <w:rPr>
          <w:rFonts w:ascii="Arial" w:hAnsi="Arial" w:cs="Arial"/>
          <w:kern w:val="0"/>
          <w:sz w:val="24"/>
          <w:szCs w:val="24"/>
          <w:lang w:bidi="en-US"/>
        </w:rPr>
      </w:pPr>
      <w:r>
        <w:rPr>
          <w:rFonts w:ascii="Arial" w:hAnsi="Arial" w:cs="Arial"/>
          <w:kern w:val="0"/>
          <w:sz w:val="24"/>
          <w:szCs w:val="24"/>
          <w:lang w:bidi="en-US"/>
        </w:rPr>
        <w:t>一、采购项目名称：环食学院竞择楼8楼实训室监控系统</w:t>
      </w:r>
    </w:p>
    <w:p>
      <w:pPr>
        <w:widowControl/>
        <w:spacing w:after="200" w:line="276" w:lineRule="auto"/>
        <w:jc w:val="left"/>
        <w:rPr>
          <w:rFonts w:ascii="Arial" w:hAnsi="Arial" w:cs="Arial"/>
          <w:kern w:val="0"/>
          <w:sz w:val="24"/>
          <w:szCs w:val="24"/>
          <w:lang w:bidi="en-US"/>
        </w:rPr>
      </w:pPr>
      <w:r>
        <w:rPr>
          <w:rFonts w:ascii="Arial" w:hAnsi="Arial" w:cs="Arial"/>
          <w:kern w:val="0"/>
          <w:sz w:val="24"/>
          <w:szCs w:val="24"/>
          <w:lang w:bidi="en-US"/>
        </w:rPr>
        <w:t>二、采购项目预算金额（人民币）：肆万肆仟叁佰玖拾元整（¥44390.00）</w:t>
      </w:r>
    </w:p>
    <w:p>
      <w:pPr>
        <w:widowControl/>
        <w:spacing w:after="200" w:line="276" w:lineRule="auto"/>
        <w:jc w:val="left"/>
        <w:rPr>
          <w:rFonts w:ascii="Arial" w:hAnsi="Arial" w:cs="Arial"/>
          <w:kern w:val="0"/>
          <w:sz w:val="24"/>
          <w:szCs w:val="24"/>
          <w:lang w:bidi="en-US"/>
        </w:rPr>
      </w:pPr>
      <w:r>
        <w:rPr>
          <w:rFonts w:ascii="Arial" w:hAnsi="Arial" w:cs="Arial"/>
          <w:kern w:val="0"/>
          <w:sz w:val="24"/>
          <w:szCs w:val="24"/>
          <w:lang w:bidi="en-US"/>
        </w:rPr>
        <w:t>三、技术需求：</w:t>
      </w:r>
    </w:p>
    <w:p>
      <w:pPr>
        <w:widowControl/>
        <w:spacing w:after="200" w:line="276" w:lineRule="auto"/>
        <w:jc w:val="left"/>
        <w:rPr>
          <w:rFonts w:ascii="Arial" w:hAnsi="Arial" w:cs="Arial"/>
          <w:kern w:val="0"/>
          <w:sz w:val="24"/>
          <w:szCs w:val="24"/>
          <w:lang w:bidi="en-US"/>
        </w:rPr>
      </w:pP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0"/>
        <w:gridCol w:w="920"/>
        <w:gridCol w:w="3708"/>
        <w:gridCol w:w="695"/>
        <w:gridCol w:w="873"/>
        <w:gridCol w:w="805"/>
        <w:gridCol w:w="872"/>
        <w:gridCol w:w="10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0" w:type="dxa"/>
            <w:vAlign w:val="center"/>
          </w:tcPr>
          <w:p>
            <w:pPr>
              <w:jc w:val="center"/>
              <w:rPr>
                <w:rFonts w:ascii="Arial" w:hAnsi="Arial" w:cs="Arial"/>
              </w:rPr>
            </w:pPr>
            <w:r>
              <w:rPr>
                <w:rFonts w:ascii="Arial" w:hAnsi="Arial" w:cs="Arial"/>
              </w:rPr>
              <w:t>序号</w:t>
            </w:r>
          </w:p>
        </w:tc>
        <w:tc>
          <w:tcPr>
            <w:tcW w:w="920" w:type="dxa"/>
            <w:vAlign w:val="center"/>
          </w:tcPr>
          <w:p>
            <w:pPr>
              <w:jc w:val="center"/>
              <w:rPr>
                <w:rFonts w:ascii="Arial" w:hAnsi="Arial" w:cs="Arial"/>
              </w:rPr>
            </w:pPr>
            <w:r>
              <w:rPr>
                <w:rFonts w:ascii="Arial" w:hAnsi="Arial" w:cs="Arial"/>
              </w:rPr>
              <w:t>产品名称</w:t>
            </w:r>
          </w:p>
        </w:tc>
        <w:tc>
          <w:tcPr>
            <w:tcW w:w="3708" w:type="dxa"/>
            <w:vAlign w:val="center"/>
          </w:tcPr>
          <w:p>
            <w:pPr>
              <w:jc w:val="center"/>
              <w:rPr>
                <w:rFonts w:ascii="Arial" w:hAnsi="Arial" w:cs="Arial"/>
              </w:rPr>
            </w:pPr>
            <w:r>
              <w:rPr>
                <w:rFonts w:ascii="Arial" w:hAnsi="Arial" w:cs="Arial"/>
              </w:rPr>
              <w:t>规格</w:t>
            </w:r>
            <w:r>
              <w:rPr>
                <w:rFonts w:hint="eastAsia" w:ascii="Arial" w:hAnsi="Arial" w:cs="Arial"/>
              </w:rPr>
              <w:t>、</w:t>
            </w:r>
            <w:r>
              <w:rPr>
                <w:rFonts w:ascii="Arial" w:hAnsi="Arial" w:cs="Arial"/>
              </w:rPr>
              <w:t>型号</w:t>
            </w:r>
            <w:r>
              <w:rPr>
                <w:rFonts w:hint="eastAsia" w:ascii="Arial" w:hAnsi="Arial" w:cs="Arial"/>
              </w:rPr>
              <w:t>与技术参数</w:t>
            </w:r>
          </w:p>
        </w:tc>
        <w:tc>
          <w:tcPr>
            <w:tcW w:w="695" w:type="dxa"/>
            <w:vAlign w:val="center"/>
          </w:tcPr>
          <w:p>
            <w:pPr>
              <w:jc w:val="center"/>
              <w:rPr>
                <w:rFonts w:ascii="Arial" w:hAnsi="Arial" w:cs="Arial"/>
              </w:rPr>
            </w:pPr>
            <w:r>
              <w:rPr>
                <w:rFonts w:ascii="Arial" w:hAnsi="Arial" w:cs="Arial"/>
              </w:rPr>
              <w:t>数量</w:t>
            </w:r>
          </w:p>
        </w:tc>
        <w:tc>
          <w:tcPr>
            <w:tcW w:w="873" w:type="dxa"/>
            <w:vAlign w:val="center"/>
          </w:tcPr>
          <w:p>
            <w:pPr>
              <w:jc w:val="center"/>
              <w:rPr>
                <w:rFonts w:ascii="Arial" w:hAnsi="Arial" w:cs="Arial"/>
              </w:rPr>
            </w:pPr>
            <w:r>
              <w:rPr>
                <w:rFonts w:ascii="Arial" w:hAnsi="Arial" w:cs="Arial"/>
              </w:rPr>
              <w:t>单位</w:t>
            </w:r>
          </w:p>
        </w:tc>
        <w:tc>
          <w:tcPr>
            <w:tcW w:w="805" w:type="dxa"/>
            <w:vAlign w:val="center"/>
          </w:tcPr>
          <w:p>
            <w:pPr>
              <w:jc w:val="center"/>
              <w:rPr>
                <w:rFonts w:ascii="Arial" w:hAnsi="Arial" w:cs="Arial"/>
              </w:rPr>
            </w:pPr>
            <w:r>
              <w:rPr>
                <w:rFonts w:ascii="Arial" w:hAnsi="Arial" w:cs="Arial"/>
              </w:rPr>
              <w:t>单价（元）</w:t>
            </w:r>
          </w:p>
        </w:tc>
        <w:tc>
          <w:tcPr>
            <w:tcW w:w="872" w:type="dxa"/>
            <w:vAlign w:val="center"/>
          </w:tcPr>
          <w:p>
            <w:pPr>
              <w:jc w:val="center"/>
              <w:rPr>
                <w:rFonts w:ascii="Arial" w:hAnsi="Arial" w:cs="Arial"/>
              </w:rPr>
            </w:pPr>
            <w:r>
              <w:rPr>
                <w:rFonts w:ascii="Arial" w:hAnsi="Arial" w:cs="Arial"/>
              </w:rPr>
              <w:t>合计（元）</w:t>
            </w:r>
          </w:p>
        </w:tc>
        <w:tc>
          <w:tcPr>
            <w:tcW w:w="1061" w:type="dxa"/>
            <w:vAlign w:val="center"/>
          </w:tcPr>
          <w:p>
            <w:pPr>
              <w:jc w:val="center"/>
              <w:rPr>
                <w:rFonts w:ascii="Arial" w:hAnsi="Arial" w:cs="Arial"/>
              </w:rPr>
            </w:pPr>
            <w:r>
              <w:rPr>
                <w:rFonts w:ascii="Arial" w:hAnsi="Arial" w:cs="Arial"/>
              </w:rPr>
              <w:t>规格</w:t>
            </w:r>
            <w:r>
              <w:rPr>
                <w:rFonts w:hint="eastAsia" w:ascii="Arial" w:hAnsi="Arial" w:cs="Arial"/>
              </w:rPr>
              <w:t>、</w:t>
            </w:r>
            <w:r>
              <w:rPr>
                <w:rFonts w:ascii="Arial" w:hAnsi="Arial" w:cs="Arial"/>
              </w:rPr>
              <w:t>型号</w:t>
            </w:r>
            <w:r>
              <w:rPr>
                <w:rFonts w:hint="eastAsia" w:ascii="Arial" w:hAnsi="Arial" w:cs="Arial"/>
              </w:rPr>
              <w:t>与技术参数</w:t>
            </w:r>
            <w:r>
              <w:rPr>
                <w:rFonts w:ascii="Arial" w:hAnsi="Arial" w:cs="Arial"/>
              </w:rPr>
              <w:t>响应情况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0" w:type="dxa"/>
            <w:vAlign w:val="center"/>
          </w:tcPr>
          <w:p>
            <w:pPr>
              <w:jc w:val="center"/>
              <w:rPr>
                <w:rFonts w:ascii="Arial" w:hAnsi="Arial" w:cs="Arial"/>
              </w:rPr>
            </w:pPr>
            <w:r>
              <w:rPr>
                <w:rFonts w:ascii="Arial" w:hAnsi="Arial" w:cs="Arial"/>
              </w:rPr>
              <w:t>1</w:t>
            </w:r>
          </w:p>
        </w:tc>
        <w:tc>
          <w:tcPr>
            <w:tcW w:w="920" w:type="dxa"/>
            <w:vAlign w:val="center"/>
          </w:tcPr>
          <w:p>
            <w:pPr>
              <w:jc w:val="center"/>
              <w:rPr>
                <w:rFonts w:ascii="Arial" w:hAnsi="Arial" w:cs="Arial"/>
              </w:rPr>
            </w:pPr>
            <w:r>
              <w:rPr>
                <w:rFonts w:ascii="Arial" w:hAnsi="Arial" w:cs="Arial"/>
              </w:rPr>
              <w:t>半球</w:t>
            </w:r>
          </w:p>
          <w:p>
            <w:pPr>
              <w:jc w:val="center"/>
              <w:rPr>
                <w:rFonts w:ascii="Arial" w:hAnsi="Arial" w:cs="Arial"/>
              </w:rPr>
            </w:pPr>
            <w:r>
              <w:rPr>
                <w:rFonts w:ascii="Arial" w:hAnsi="Arial" w:cs="Arial"/>
              </w:rPr>
              <w:t>摄像头</w:t>
            </w:r>
          </w:p>
        </w:tc>
        <w:tc>
          <w:tcPr>
            <w:tcW w:w="3708" w:type="dxa"/>
            <w:vAlign w:val="center"/>
          </w:tcPr>
          <w:p>
            <w:pPr>
              <w:rPr>
                <w:rFonts w:ascii="Arial" w:hAnsi="Arial" w:cs="Arial"/>
                <w:szCs w:val="21"/>
              </w:rPr>
            </w:pPr>
            <w:r>
              <w:rPr>
                <w:rFonts w:ascii="Arial" w:hAnsi="Arial" w:cs="Arial"/>
                <w:szCs w:val="21"/>
              </w:rPr>
              <w:t>⑴最大分辨率为2048x1536，具有</w:t>
            </w:r>
            <w:r>
              <w:rPr>
                <w:rFonts w:hint="eastAsia" w:ascii="Arial" w:hAnsi="Arial" w:cs="Arial"/>
                <w:szCs w:val="21"/>
              </w:rPr>
              <w:t>≥</w:t>
            </w:r>
            <w:r>
              <w:rPr>
                <w:rFonts w:ascii="Arial" w:hAnsi="Arial" w:cs="Arial"/>
                <w:szCs w:val="21"/>
              </w:rPr>
              <w:t>300万像素CMOS传感器；</w:t>
            </w:r>
          </w:p>
          <w:p>
            <w:pPr>
              <w:rPr>
                <w:rFonts w:ascii="Arial" w:hAnsi="Arial" w:cs="Arial"/>
                <w:szCs w:val="21"/>
              </w:rPr>
            </w:pPr>
            <w:r>
              <w:rPr>
                <w:rFonts w:ascii="Arial" w:hAnsi="Arial" w:cs="Arial"/>
                <w:szCs w:val="21"/>
              </w:rPr>
              <w:t>⑵最低照度彩色：0.001lx，灰度等级不小于11级；</w:t>
            </w:r>
          </w:p>
          <w:p>
            <w:pPr>
              <w:rPr>
                <w:rFonts w:ascii="Arial" w:hAnsi="Arial" w:cs="Arial"/>
                <w:szCs w:val="21"/>
              </w:rPr>
            </w:pPr>
            <w:r>
              <w:rPr>
                <w:rFonts w:ascii="Arial" w:hAnsi="Arial" w:cs="Arial"/>
                <w:szCs w:val="21"/>
              </w:rPr>
              <w:t>⑶红外补光距离不小于60米；</w:t>
            </w:r>
          </w:p>
          <w:p>
            <w:pPr>
              <w:rPr>
                <w:rFonts w:ascii="Arial" w:hAnsi="Arial" w:cs="Arial"/>
                <w:szCs w:val="21"/>
              </w:rPr>
            </w:pPr>
            <w:r>
              <w:rPr>
                <w:rFonts w:ascii="Arial" w:hAnsi="Arial" w:cs="Arial"/>
                <w:szCs w:val="21"/>
              </w:rPr>
              <w:t>⑷支持三码流技术，可同时输出三路码流，主码流最高2048x1536@30fps，第三码流最大分辨率2048x1536,子码流704x576@30fps；</w:t>
            </w:r>
          </w:p>
          <w:p>
            <w:pPr>
              <w:rPr>
                <w:rFonts w:ascii="Arial" w:hAnsi="Arial" w:cs="Arial"/>
                <w:szCs w:val="21"/>
              </w:rPr>
            </w:pPr>
            <w:r>
              <w:rPr>
                <w:rFonts w:ascii="Arial" w:hAnsi="Arial" w:cs="Arial"/>
                <w:szCs w:val="21"/>
              </w:rPr>
              <w:t>⑸设备与客户端之间用有</w:t>
            </w:r>
            <w:r>
              <w:rPr>
                <w:rFonts w:hint="eastAsia" w:ascii="Arial" w:hAnsi="Arial" w:cs="Arial"/>
                <w:szCs w:val="21"/>
              </w:rPr>
              <w:t>≥</w:t>
            </w:r>
            <w:r>
              <w:rPr>
                <w:rFonts w:ascii="Arial" w:hAnsi="Arial" w:cs="Arial"/>
                <w:szCs w:val="21"/>
              </w:rPr>
              <w:t>120米网线进行传输，数据包丢包率不大于0.1%；</w:t>
            </w:r>
          </w:p>
          <w:p>
            <w:pPr>
              <w:rPr>
                <w:rFonts w:ascii="Arial" w:hAnsi="Arial" w:cs="Arial"/>
                <w:szCs w:val="21"/>
              </w:rPr>
            </w:pPr>
            <w:r>
              <w:rPr>
                <w:rFonts w:ascii="Arial" w:hAnsi="Arial" w:cs="Arial"/>
                <w:szCs w:val="21"/>
              </w:rPr>
              <w:t xml:space="preserve">⑹支持H.264、H.265和MJPEG视频编码格式； </w:t>
            </w:r>
          </w:p>
          <w:p>
            <w:pPr>
              <w:rPr>
                <w:rFonts w:ascii="Arial" w:hAnsi="Arial" w:cs="Arial"/>
                <w:szCs w:val="21"/>
              </w:rPr>
            </w:pPr>
            <w:r>
              <w:rPr>
                <w:rFonts w:ascii="Arial" w:hAnsi="Arial" w:cs="Arial"/>
                <w:szCs w:val="21"/>
              </w:rPr>
              <w:t>⑺具有黑白名单功能，其中白名单可添加不小于48个IP地址；</w:t>
            </w:r>
          </w:p>
          <w:p>
            <w:pPr>
              <w:rPr>
                <w:rFonts w:ascii="Arial" w:hAnsi="Arial" w:cs="Arial"/>
                <w:szCs w:val="21"/>
              </w:rPr>
            </w:pPr>
            <w:r>
              <w:rPr>
                <w:rFonts w:ascii="Arial" w:hAnsi="Arial" w:cs="Arial"/>
                <w:szCs w:val="21"/>
              </w:rPr>
              <w:t>⑻具备区域入侵检测、越界检测等功能；</w:t>
            </w:r>
          </w:p>
          <w:p>
            <w:pPr>
              <w:rPr>
                <w:rFonts w:ascii="Arial" w:hAnsi="Arial" w:cs="Arial"/>
                <w:szCs w:val="21"/>
              </w:rPr>
            </w:pPr>
            <w:r>
              <w:rPr>
                <w:rFonts w:ascii="Arial" w:hAnsi="Arial" w:cs="Arial"/>
                <w:szCs w:val="21"/>
              </w:rPr>
              <w:t>⑼摄像机能够在-30~60摄氏度，湿度小于93%环境下稳定工作；</w:t>
            </w:r>
          </w:p>
          <w:p>
            <w:pPr>
              <w:rPr>
                <w:rFonts w:ascii="Arial" w:hAnsi="Arial" w:cs="Arial"/>
                <w:szCs w:val="21"/>
              </w:rPr>
            </w:pPr>
            <w:r>
              <w:rPr>
                <w:rFonts w:ascii="Arial" w:hAnsi="Arial" w:cs="Arial"/>
                <w:szCs w:val="21"/>
              </w:rPr>
              <w:t>⑽支持DC12V供电，且在不小于DC12V±30%范围内变化时可以正常工作；</w:t>
            </w:r>
          </w:p>
          <w:p>
            <w:pPr>
              <w:rPr>
                <w:rFonts w:ascii="Arial" w:hAnsi="Arial" w:cs="Arial"/>
                <w:szCs w:val="21"/>
              </w:rPr>
            </w:pPr>
            <w:r>
              <w:rPr>
                <w:rFonts w:ascii="Arial" w:hAnsi="Arial" w:cs="Arial"/>
                <w:szCs w:val="21"/>
              </w:rPr>
              <w:t>⑾支持本地SD卡存储，最大支持256G；</w:t>
            </w:r>
          </w:p>
          <w:p>
            <w:pPr>
              <w:rPr>
                <w:rFonts w:ascii="Arial" w:hAnsi="Arial" w:cs="Arial"/>
                <w:szCs w:val="21"/>
              </w:rPr>
            </w:pPr>
            <w:r>
              <w:rPr>
                <w:rFonts w:ascii="Arial" w:hAnsi="Arial" w:cs="Arial"/>
                <w:szCs w:val="21"/>
              </w:rPr>
              <w:t>⑿兼容原校区监控一体化平台；</w:t>
            </w:r>
          </w:p>
          <w:p>
            <w:pPr>
              <w:rPr>
                <w:rFonts w:ascii="Arial" w:hAnsi="Arial" w:cs="Arial"/>
              </w:rPr>
            </w:pPr>
            <w:r>
              <w:rPr>
                <w:rFonts w:ascii="Arial" w:hAnsi="Arial" w:cs="Arial"/>
                <w:szCs w:val="21"/>
              </w:rPr>
              <w:t xml:space="preserve">⒀免费保修5年（含安装调试）； </w:t>
            </w:r>
          </w:p>
        </w:tc>
        <w:tc>
          <w:tcPr>
            <w:tcW w:w="695" w:type="dxa"/>
            <w:vAlign w:val="center"/>
          </w:tcPr>
          <w:p>
            <w:pPr>
              <w:widowControl/>
              <w:jc w:val="center"/>
              <w:textAlignment w:val="center"/>
              <w:rPr>
                <w:rFonts w:ascii="Arial" w:hAnsi="Arial" w:cs="Arial"/>
              </w:rPr>
            </w:pPr>
            <w:r>
              <w:rPr>
                <w:rFonts w:ascii="Arial" w:hAnsi="Arial" w:cs="Arial"/>
                <w:color w:val="000000"/>
                <w:kern w:val="0"/>
                <w:szCs w:val="21"/>
              </w:rPr>
              <w:t>27</w:t>
            </w:r>
          </w:p>
        </w:tc>
        <w:tc>
          <w:tcPr>
            <w:tcW w:w="873" w:type="dxa"/>
            <w:vAlign w:val="center"/>
          </w:tcPr>
          <w:p>
            <w:pPr>
              <w:widowControl/>
              <w:jc w:val="center"/>
              <w:textAlignment w:val="center"/>
              <w:rPr>
                <w:rFonts w:ascii="Arial" w:hAnsi="Arial" w:cs="Arial"/>
              </w:rPr>
            </w:pPr>
            <w:r>
              <w:rPr>
                <w:rFonts w:ascii="Arial" w:hAnsi="Arial" w:cs="Arial"/>
                <w:color w:val="000000"/>
                <w:kern w:val="0"/>
                <w:szCs w:val="21"/>
              </w:rPr>
              <w:t>个</w:t>
            </w:r>
          </w:p>
        </w:tc>
        <w:tc>
          <w:tcPr>
            <w:tcW w:w="805" w:type="dxa"/>
            <w:vAlign w:val="center"/>
          </w:tcPr>
          <w:p>
            <w:pPr>
              <w:jc w:val="center"/>
              <w:rPr>
                <w:rFonts w:ascii="Arial" w:hAnsi="Arial" w:cs="Arial"/>
              </w:rPr>
            </w:pPr>
          </w:p>
        </w:tc>
        <w:tc>
          <w:tcPr>
            <w:tcW w:w="872" w:type="dxa"/>
            <w:vAlign w:val="center"/>
          </w:tcPr>
          <w:p>
            <w:pPr>
              <w:jc w:val="center"/>
              <w:rPr>
                <w:rFonts w:ascii="Arial" w:hAnsi="Arial" w:cs="Arial"/>
              </w:rPr>
            </w:pPr>
          </w:p>
        </w:tc>
        <w:tc>
          <w:tcPr>
            <w:tcW w:w="1061" w:type="dxa"/>
            <w:vAlign w:val="center"/>
          </w:tcPr>
          <w:p>
            <w:pPr>
              <w:jc w:val="center"/>
              <w:rPr>
                <w:rFonts w:ascii="Arial" w:hAnsi="Arial" w:cs="Aria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0" w:type="dxa"/>
            <w:vAlign w:val="center"/>
          </w:tcPr>
          <w:p>
            <w:pPr>
              <w:jc w:val="center"/>
              <w:rPr>
                <w:rFonts w:ascii="Arial" w:hAnsi="Arial" w:cs="Arial"/>
              </w:rPr>
            </w:pPr>
            <w:r>
              <w:rPr>
                <w:rFonts w:ascii="Arial" w:hAnsi="Arial" w:cs="Arial"/>
              </w:rPr>
              <w:t>2</w:t>
            </w:r>
          </w:p>
        </w:tc>
        <w:tc>
          <w:tcPr>
            <w:tcW w:w="920" w:type="dxa"/>
            <w:vAlign w:val="center"/>
          </w:tcPr>
          <w:p>
            <w:pPr>
              <w:jc w:val="center"/>
              <w:rPr>
                <w:rFonts w:ascii="Arial" w:hAnsi="Arial" w:cs="Arial"/>
              </w:rPr>
            </w:pPr>
            <w:r>
              <w:rPr>
                <w:rFonts w:ascii="Arial" w:hAnsi="Arial" w:cs="Arial"/>
              </w:rPr>
              <w:t>硬盘</w:t>
            </w:r>
          </w:p>
          <w:p>
            <w:pPr>
              <w:jc w:val="center"/>
              <w:rPr>
                <w:rFonts w:ascii="Arial" w:hAnsi="Arial" w:cs="Arial"/>
              </w:rPr>
            </w:pPr>
            <w:r>
              <w:rPr>
                <w:rFonts w:ascii="Arial" w:hAnsi="Arial" w:cs="Arial"/>
              </w:rPr>
              <w:t>录像机</w:t>
            </w:r>
          </w:p>
        </w:tc>
        <w:tc>
          <w:tcPr>
            <w:tcW w:w="3708" w:type="dxa"/>
            <w:vAlign w:val="center"/>
          </w:tcPr>
          <w:p>
            <w:pPr>
              <w:spacing w:line="260" w:lineRule="exact"/>
              <w:rPr>
                <w:rFonts w:ascii="Arial" w:hAnsi="Arial" w:cs="Arial"/>
                <w:szCs w:val="21"/>
              </w:rPr>
            </w:pPr>
            <w:r>
              <w:rPr>
                <w:rFonts w:ascii="Arial" w:hAnsi="Arial" w:cs="Arial"/>
                <w:szCs w:val="21"/>
              </w:rPr>
              <w:t>32路网络视频输入</w:t>
            </w:r>
          </w:p>
          <w:p>
            <w:pPr>
              <w:spacing w:line="260" w:lineRule="exact"/>
              <w:rPr>
                <w:rFonts w:ascii="Arial" w:hAnsi="Arial" w:cs="Arial"/>
                <w:szCs w:val="21"/>
              </w:rPr>
            </w:pPr>
            <w:r>
              <w:rPr>
                <w:rFonts w:ascii="Arial" w:hAnsi="Arial" w:cs="Arial"/>
                <w:szCs w:val="21"/>
              </w:rPr>
              <w:t>1、支持周界报警过滤功能，对IPC上报的月越界侦测报警和区域入侵报警进行去误报，可去除由树叶、灯光、车辆、阴影以及小动物一起的误报，支持≥4路，支持查看并显示硬盘温度、振动、链路稳定性健康状态信息，可查看最近≥6天内的硬盘状态详细信息</w:t>
            </w:r>
          </w:p>
          <w:p>
            <w:pPr>
              <w:spacing w:line="260" w:lineRule="exact"/>
              <w:rPr>
                <w:rFonts w:ascii="Arial" w:hAnsi="Arial" w:cs="Arial"/>
                <w:szCs w:val="21"/>
              </w:rPr>
            </w:pPr>
            <w:r>
              <w:rPr>
                <w:rFonts w:ascii="Arial" w:hAnsi="Arial" w:cs="Arial"/>
                <w:szCs w:val="21"/>
              </w:rPr>
              <w:t>2、支持人脸以图搜图，可从外部、人脸库、人脸检索结果、人员频次分析结果导入最多9张人脸样本照片并设置相似度（0-100），检索出符合相似度的人脸图片，可查看人脸背景图、回放关联录像并导出人脸图片；支持按通道、时间检索人脸抓拍图片，支持将检索结果中人脸图片添加到人脸库</w:t>
            </w:r>
          </w:p>
          <w:p>
            <w:pPr>
              <w:spacing w:line="260" w:lineRule="exact"/>
              <w:rPr>
                <w:rFonts w:ascii="Arial" w:hAnsi="Arial" w:cs="Arial"/>
                <w:szCs w:val="21"/>
              </w:rPr>
            </w:pPr>
            <w:r>
              <w:rPr>
                <w:rFonts w:ascii="Arial" w:hAnsi="Arial" w:cs="Arial"/>
                <w:szCs w:val="21"/>
              </w:rPr>
              <w:t>·可接驳符合ONVIF、RTSP标准及众多主流厂商的网络摄像机；</w:t>
            </w:r>
          </w:p>
          <w:p>
            <w:pPr>
              <w:spacing w:line="260" w:lineRule="exact"/>
              <w:rPr>
                <w:rFonts w:ascii="Arial" w:hAnsi="Arial" w:cs="Arial"/>
                <w:szCs w:val="21"/>
              </w:rPr>
            </w:pPr>
            <w:r>
              <w:rPr>
                <w:rFonts w:ascii="Arial" w:hAnsi="Arial" w:cs="Arial"/>
                <w:szCs w:val="21"/>
              </w:rPr>
              <w:t>·支持4K高清网络视频的预览、存储与回放；</w:t>
            </w:r>
          </w:p>
          <w:p>
            <w:pPr>
              <w:spacing w:line="260" w:lineRule="exact"/>
              <w:rPr>
                <w:rFonts w:ascii="Arial" w:hAnsi="Arial" w:cs="Arial"/>
                <w:szCs w:val="21"/>
              </w:rPr>
            </w:pPr>
            <w:r>
              <w:rPr>
                <w:rFonts w:ascii="Arial" w:hAnsi="Arial" w:cs="Arial"/>
                <w:szCs w:val="21"/>
              </w:rPr>
              <w:t>·支持H.265、H.264编码前端自适应接入；</w:t>
            </w:r>
          </w:p>
          <w:p>
            <w:pPr>
              <w:spacing w:line="260" w:lineRule="exact"/>
              <w:rPr>
                <w:rFonts w:ascii="Arial" w:hAnsi="Arial" w:cs="Arial"/>
                <w:szCs w:val="21"/>
              </w:rPr>
            </w:pPr>
            <w:r>
              <w:rPr>
                <w:rFonts w:ascii="Arial" w:hAnsi="Arial" w:cs="Arial"/>
                <w:szCs w:val="21"/>
              </w:rPr>
              <w:t>·支持IPC集中管理，包括IPC参数配置、信息的导入/导出和升级等功能；</w:t>
            </w:r>
          </w:p>
          <w:p>
            <w:pPr>
              <w:spacing w:line="260" w:lineRule="exact"/>
              <w:rPr>
                <w:rFonts w:ascii="Arial" w:hAnsi="Arial" w:cs="Arial"/>
                <w:szCs w:val="21"/>
              </w:rPr>
            </w:pPr>
            <w:r>
              <w:rPr>
                <w:rFonts w:ascii="Arial" w:hAnsi="Arial" w:cs="Arial"/>
                <w:szCs w:val="21"/>
              </w:rPr>
              <w:t>·支持2个HDMI和2个VGA同时输出，其中HDMI 1支持4K高清分辨率输出；</w:t>
            </w:r>
          </w:p>
          <w:p>
            <w:pPr>
              <w:spacing w:line="260" w:lineRule="exact"/>
              <w:rPr>
                <w:rFonts w:ascii="Arial" w:hAnsi="Arial" w:cs="Arial"/>
                <w:szCs w:val="21"/>
              </w:rPr>
            </w:pPr>
            <w:r>
              <w:rPr>
                <w:rFonts w:ascii="Arial" w:hAnsi="Arial" w:cs="Arial"/>
                <w:szCs w:val="21"/>
              </w:rPr>
              <w:t>·便捷的UI操作界面，支持一键开启录像功能；</w:t>
            </w:r>
          </w:p>
          <w:p>
            <w:pPr>
              <w:spacing w:line="260" w:lineRule="exact"/>
              <w:rPr>
                <w:rFonts w:ascii="Arial" w:hAnsi="Arial" w:cs="Arial"/>
                <w:szCs w:val="21"/>
              </w:rPr>
            </w:pPr>
            <w:r>
              <w:rPr>
                <w:rFonts w:ascii="Arial" w:hAnsi="Arial" w:cs="Arial"/>
                <w:szCs w:val="21"/>
              </w:rPr>
              <w:t>·支持海康Smart IPC越界、进入区域、离开区域、区域入侵、徘徊、人员聚焦、快速移动、非法停车、物品遗留、物品拿取、人脸、车牌、音频输入异常、声强突变、虚焦以及场景变更等多种智能侦测接入与联动，支持智能搜索、回放及备份功能，有效提高录像检索与回放效率；</w:t>
            </w:r>
          </w:p>
          <w:p>
            <w:pPr>
              <w:spacing w:line="260" w:lineRule="exact"/>
              <w:rPr>
                <w:rFonts w:ascii="Arial" w:hAnsi="Arial" w:cs="Arial"/>
                <w:szCs w:val="21"/>
              </w:rPr>
            </w:pPr>
            <w:r>
              <w:rPr>
                <w:rFonts w:ascii="Arial" w:hAnsi="Arial" w:cs="Arial"/>
                <w:szCs w:val="21"/>
              </w:rPr>
              <w:t>·支持即时回放功能，在预览画面下对指定通道的当前录像进行回放，并且不影响其他通道预览；</w:t>
            </w:r>
          </w:p>
          <w:p>
            <w:pPr>
              <w:spacing w:line="260" w:lineRule="exact"/>
              <w:rPr>
                <w:rFonts w:ascii="Arial" w:hAnsi="Arial" w:cs="Arial"/>
                <w:szCs w:val="21"/>
              </w:rPr>
            </w:pPr>
            <w:r>
              <w:rPr>
                <w:rFonts w:ascii="Arial" w:hAnsi="Arial" w:cs="Arial"/>
                <w:szCs w:val="21"/>
              </w:rPr>
              <w:t>·支持最大16路同步回放及多路同步倒放；</w:t>
            </w:r>
          </w:p>
          <w:p>
            <w:pPr>
              <w:spacing w:line="260" w:lineRule="exact"/>
              <w:rPr>
                <w:rFonts w:ascii="Arial" w:hAnsi="Arial" w:cs="Arial"/>
                <w:szCs w:val="21"/>
              </w:rPr>
            </w:pPr>
            <w:r>
              <w:rPr>
                <w:rFonts w:ascii="Arial" w:hAnsi="Arial" w:cs="Arial"/>
                <w:szCs w:val="21"/>
              </w:rPr>
              <w:t>·支持标签定义、查询、回放录像文件；</w:t>
            </w:r>
          </w:p>
          <w:p>
            <w:pPr>
              <w:spacing w:line="260" w:lineRule="exact"/>
              <w:rPr>
                <w:rFonts w:ascii="Arial" w:hAnsi="Arial" w:cs="Arial"/>
                <w:szCs w:val="21"/>
              </w:rPr>
            </w:pPr>
            <w:r>
              <w:rPr>
                <w:rFonts w:ascii="Arial" w:hAnsi="Arial" w:cs="Arial"/>
                <w:szCs w:val="21"/>
              </w:rPr>
              <w:t>·支持重要录像文件加锁保护功能；</w:t>
            </w:r>
          </w:p>
          <w:p>
            <w:pPr>
              <w:spacing w:line="260" w:lineRule="exact"/>
              <w:rPr>
                <w:rFonts w:ascii="Arial" w:hAnsi="Arial" w:cs="Arial"/>
                <w:szCs w:val="21"/>
              </w:rPr>
            </w:pPr>
            <w:r>
              <w:rPr>
                <w:rFonts w:ascii="Arial" w:hAnsi="Arial" w:cs="Arial"/>
                <w:szCs w:val="21"/>
              </w:rPr>
              <w:t>·支持硬盘配额和硬盘盘组两种存储模式，可对不同通道分配不同的录像保存容量或周期；</w:t>
            </w:r>
          </w:p>
          <w:p>
            <w:pPr>
              <w:spacing w:line="260" w:lineRule="exact"/>
              <w:rPr>
                <w:rFonts w:ascii="Arial" w:hAnsi="Arial" w:cs="Arial"/>
                <w:szCs w:val="21"/>
              </w:rPr>
            </w:pPr>
            <w:r>
              <w:rPr>
                <w:rFonts w:ascii="Arial" w:hAnsi="Arial" w:cs="Arial"/>
                <w:szCs w:val="21"/>
              </w:rPr>
              <w:t>·支持8个SATA接口，1个eSATA盘库，可用于录像和备份；</w:t>
            </w:r>
          </w:p>
          <w:p>
            <w:pPr>
              <w:spacing w:line="260" w:lineRule="exact"/>
              <w:rPr>
                <w:rFonts w:ascii="Arial" w:hAnsi="Arial" w:cs="Arial"/>
                <w:szCs w:val="21"/>
              </w:rPr>
            </w:pPr>
            <w:r>
              <w:rPr>
                <w:rFonts w:ascii="Arial" w:hAnsi="Arial" w:cs="Arial"/>
                <w:szCs w:val="21"/>
              </w:rPr>
              <w:t>·双千兆网卡，支持网络容错以及多址设定等应用；</w:t>
            </w:r>
          </w:p>
          <w:p>
            <w:pPr>
              <w:spacing w:line="260" w:lineRule="exact"/>
              <w:rPr>
                <w:rFonts w:ascii="Arial" w:hAnsi="Arial" w:cs="Arial"/>
                <w:szCs w:val="21"/>
              </w:rPr>
            </w:pPr>
            <w:r>
              <w:rPr>
                <w:rFonts w:ascii="Arial" w:hAnsi="Arial" w:cs="Arial"/>
                <w:szCs w:val="21"/>
              </w:rPr>
              <w:t>·支持GB28181协议、Ehome协议接入平台；</w:t>
            </w:r>
          </w:p>
          <w:p>
            <w:pPr>
              <w:spacing w:line="260" w:lineRule="exact"/>
              <w:rPr>
                <w:rFonts w:ascii="Arial" w:hAnsi="Arial" w:cs="Arial"/>
                <w:szCs w:val="21"/>
              </w:rPr>
            </w:pPr>
            <w:r>
              <w:rPr>
                <w:rFonts w:ascii="Arial" w:hAnsi="Arial" w:cs="Arial"/>
                <w:szCs w:val="21"/>
              </w:rPr>
              <w:t>·支持网络检测（网络流量监控、网络抓包、网络通畅）功能。</w:t>
            </w:r>
          </w:p>
          <w:p>
            <w:pPr>
              <w:spacing w:line="260" w:lineRule="exact"/>
              <w:rPr>
                <w:rFonts w:ascii="Arial" w:hAnsi="Arial" w:cs="Arial"/>
                <w:szCs w:val="21"/>
              </w:rPr>
            </w:pPr>
            <w:r>
              <w:rPr>
                <w:rFonts w:ascii="Arial" w:hAnsi="Arial" w:cs="Arial"/>
                <w:szCs w:val="21"/>
              </w:rPr>
              <w:t>·兼容原校区监控一体化平台。</w:t>
            </w:r>
          </w:p>
          <w:p>
            <w:pPr>
              <w:spacing w:line="260" w:lineRule="exact"/>
              <w:rPr>
                <w:rFonts w:ascii="Arial" w:hAnsi="Arial" w:cs="Arial"/>
                <w:szCs w:val="21"/>
              </w:rPr>
            </w:pPr>
            <w:r>
              <w:rPr>
                <w:rFonts w:ascii="Arial" w:hAnsi="Arial" w:cs="Arial"/>
                <w:szCs w:val="21"/>
              </w:rPr>
              <w:t>·支持视频管理功能，支持实时监控、录像查询、回放及下载、电子地图、软件平台访问、组织资源管理等。</w:t>
            </w:r>
          </w:p>
          <w:p>
            <w:pPr>
              <w:spacing w:line="260" w:lineRule="exact"/>
              <w:rPr>
                <w:rFonts w:ascii="Arial" w:hAnsi="Arial" w:cs="Arial"/>
                <w:szCs w:val="21"/>
              </w:rPr>
            </w:pPr>
            <w:r>
              <w:rPr>
                <w:rFonts w:ascii="Arial" w:hAnsi="Arial" w:cs="Arial"/>
                <w:szCs w:val="21"/>
              </w:rPr>
              <w:t>·支持电子地图功能：支持全高清地图，显示道路、河流、建筑、绿地等信息；支持在电子地图上手动标记盲点、事件多发区、网络区域并显示。</w:t>
            </w:r>
          </w:p>
          <w:p>
            <w:pPr>
              <w:spacing w:line="260" w:lineRule="exact"/>
              <w:rPr>
                <w:rFonts w:ascii="Arial" w:hAnsi="Arial" w:cs="Arial"/>
              </w:rPr>
            </w:pPr>
            <w:r>
              <w:rPr>
                <w:rFonts w:ascii="Arial" w:hAnsi="Arial" w:cs="Arial"/>
                <w:szCs w:val="21"/>
              </w:rPr>
              <w:t>·支持移动终端应用功能：支持Android、IOS操作系统的移动终端接入，在移动终端上实现实时预览、录像回放、云台控制、报警等功能。</w:t>
            </w:r>
          </w:p>
        </w:tc>
        <w:tc>
          <w:tcPr>
            <w:tcW w:w="695" w:type="dxa"/>
            <w:vAlign w:val="center"/>
          </w:tcPr>
          <w:p>
            <w:pPr>
              <w:widowControl/>
              <w:jc w:val="center"/>
              <w:textAlignment w:val="center"/>
              <w:rPr>
                <w:rFonts w:ascii="Arial" w:hAnsi="Arial" w:cs="Arial"/>
              </w:rPr>
            </w:pPr>
            <w:r>
              <w:rPr>
                <w:rFonts w:ascii="Arial" w:hAnsi="Arial" w:cs="Arial"/>
                <w:color w:val="000000"/>
                <w:kern w:val="0"/>
                <w:szCs w:val="21"/>
              </w:rPr>
              <w:t>1</w:t>
            </w:r>
          </w:p>
        </w:tc>
        <w:tc>
          <w:tcPr>
            <w:tcW w:w="873" w:type="dxa"/>
            <w:vAlign w:val="center"/>
          </w:tcPr>
          <w:p>
            <w:pPr>
              <w:widowControl/>
              <w:jc w:val="center"/>
              <w:textAlignment w:val="center"/>
              <w:rPr>
                <w:rFonts w:ascii="Arial" w:hAnsi="Arial" w:cs="Arial"/>
                <w:color w:val="000000"/>
                <w:szCs w:val="21"/>
              </w:rPr>
            </w:pPr>
            <w:r>
              <w:rPr>
                <w:rFonts w:ascii="Arial" w:hAnsi="Arial" w:cs="Arial"/>
                <w:color w:val="000000"/>
                <w:kern w:val="0"/>
                <w:szCs w:val="21"/>
              </w:rPr>
              <w:t>台</w:t>
            </w:r>
          </w:p>
        </w:tc>
        <w:tc>
          <w:tcPr>
            <w:tcW w:w="805" w:type="dxa"/>
            <w:vAlign w:val="center"/>
          </w:tcPr>
          <w:p>
            <w:pPr>
              <w:jc w:val="center"/>
              <w:rPr>
                <w:rFonts w:ascii="Arial" w:hAnsi="Arial" w:cs="Arial"/>
              </w:rPr>
            </w:pPr>
          </w:p>
        </w:tc>
        <w:tc>
          <w:tcPr>
            <w:tcW w:w="872" w:type="dxa"/>
            <w:vAlign w:val="center"/>
          </w:tcPr>
          <w:p>
            <w:pPr>
              <w:jc w:val="center"/>
              <w:rPr>
                <w:rFonts w:ascii="Arial" w:hAnsi="Arial" w:cs="Arial"/>
              </w:rPr>
            </w:pPr>
          </w:p>
        </w:tc>
        <w:tc>
          <w:tcPr>
            <w:tcW w:w="1061" w:type="dxa"/>
            <w:vAlign w:val="center"/>
          </w:tcPr>
          <w:p>
            <w:pPr>
              <w:jc w:val="center"/>
              <w:rPr>
                <w:rFonts w:ascii="Arial" w:hAnsi="Arial" w:cs="Aria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5" w:hRule="atLeast"/>
        </w:trPr>
        <w:tc>
          <w:tcPr>
            <w:tcW w:w="920" w:type="dxa"/>
            <w:vAlign w:val="center"/>
          </w:tcPr>
          <w:p>
            <w:pPr>
              <w:jc w:val="center"/>
              <w:rPr>
                <w:rFonts w:ascii="Arial" w:hAnsi="Arial" w:cs="Arial"/>
              </w:rPr>
            </w:pPr>
            <w:r>
              <w:rPr>
                <w:rFonts w:ascii="Arial" w:hAnsi="Arial" w:cs="Arial"/>
              </w:rPr>
              <w:t>3</w:t>
            </w:r>
          </w:p>
        </w:tc>
        <w:tc>
          <w:tcPr>
            <w:tcW w:w="920" w:type="dxa"/>
            <w:vAlign w:val="center"/>
          </w:tcPr>
          <w:p>
            <w:pPr>
              <w:jc w:val="center"/>
              <w:rPr>
                <w:rFonts w:ascii="Arial" w:hAnsi="Arial" w:cs="Arial"/>
              </w:rPr>
            </w:pPr>
            <w:r>
              <w:rPr>
                <w:rFonts w:ascii="Arial" w:hAnsi="Arial" w:cs="Arial"/>
              </w:rPr>
              <w:t>硬盘</w:t>
            </w:r>
          </w:p>
        </w:tc>
        <w:tc>
          <w:tcPr>
            <w:tcW w:w="3708" w:type="dxa"/>
            <w:vAlign w:val="center"/>
          </w:tcPr>
          <w:p>
            <w:pPr>
              <w:rPr>
                <w:rFonts w:ascii="Arial" w:hAnsi="Arial" w:cs="Arial"/>
              </w:rPr>
            </w:pPr>
            <w:r>
              <w:rPr>
                <w:rFonts w:ascii="Arial" w:hAnsi="Arial" w:cs="Arial"/>
                <w:szCs w:val="21"/>
              </w:rPr>
              <w:t>专业级监控硬盘4T SATA接口</w:t>
            </w:r>
          </w:p>
        </w:tc>
        <w:tc>
          <w:tcPr>
            <w:tcW w:w="695" w:type="dxa"/>
            <w:vAlign w:val="center"/>
          </w:tcPr>
          <w:p>
            <w:pPr>
              <w:widowControl/>
              <w:jc w:val="center"/>
              <w:textAlignment w:val="center"/>
              <w:rPr>
                <w:rFonts w:ascii="Arial" w:hAnsi="Arial" w:cs="Arial"/>
              </w:rPr>
            </w:pPr>
            <w:r>
              <w:rPr>
                <w:rFonts w:ascii="Arial" w:hAnsi="Arial" w:cs="Arial"/>
                <w:color w:val="000000"/>
                <w:kern w:val="0"/>
                <w:szCs w:val="21"/>
              </w:rPr>
              <w:t>4</w:t>
            </w:r>
          </w:p>
        </w:tc>
        <w:tc>
          <w:tcPr>
            <w:tcW w:w="873" w:type="dxa"/>
            <w:vAlign w:val="center"/>
          </w:tcPr>
          <w:p>
            <w:pPr>
              <w:widowControl/>
              <w:jc w:val="center"/>
              <w:textAlignment w:val="center"/>
              <w:rPr>
                <w:rFonts w:ascii="Arial" w:hAnsi="Arial" w:cs="Arial"/>
              </w:rPr>
            </w:pPr>
            <w:r>
              <w:rPr>
                <w:rFonts w:ascii="Arial" w:hAnsi="Arial" w:cs="Arial"/>
                <w:color w:val="000000"/>
                <w:kern w:val="0"/>
                <w:szCs w:val="21"/>
              </w:rPr>
              <w:t>块</w:t>
            </w:r>
          </w:p>
        </w:tc>
        <w:tc>
          <w:tcPr>
            <w:tcW w:w="805" w:type="dxa"/>
            <w:vAlign w:val="center"/>
          </w:tcPr>
          <w:p>
            <w:pPr>
              <w:jc w:val="center"/>
              <w:rPr>
                <w:rFonts w:ascii="Arial" w:hAnsi="Arial" w:cs="Arial"/>
              </w:rPr>
            </w:pPr>
          </w:p>
        </w:tc>
        <w:tc>
          <w:tcPr>
            <w:tcW w:w="872" w:type="dxa"/>
            <w:vAlign w:val="center"/>
          </w:tcPr>
          <w:p>
            <w:pPr>
              <w:jc w:val="center"/>
              <w:rPr>
                <w:rFonts w:ascii="Arial" w:hAnsi="Arial" w:cs="Arial"/>
              </w:rPr>
            </w:pPr>
          </w:p>
        </w:tc>
        <w:tc>
          <w:tcPr>
            <w:tcW w:w="1061" w:type="dxa"/>
            <w:vAlign w:val="center"/>
          </w:tcPr>
          <w:p>
            <w:pPr>
              <w:jc w:val="center"/>
              <w:rPr>
                <w:rFonts w:ascii="Arial" w:hAnsi="Arial" w:cs="Aria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3" w:hRule="atLeast"/>
        </w:trPr>
        <w:tc>
          <w:tcPr>
            <w:tcW w:w="920" w:type="dxa"/>
            <w:tcBorders>
              <w:right w:val="single" w:color="auto" w:sz="4" w:space="0"/>
            </w:tcBorders>
            <w:vAlign w:val="center"/>
          </w:tcPr>
          <w:p>
            <w:pPr>
              <w:jc w:val="center"/>
              <w:rPr>
                <w:rFonts w:ascii="Arial" w:hAnsi="Arial" w:cs="Arial"/>
                <w:spacing w:val="-8"/>
                <w:sz w:val="22"/>
              </w:rPr>
            </w:pPr>
            <w:r>
              <w:rPr>
                <w:rFonts w:ascii="Arial" w:hAnsi="Arial" w:cs="Arial"/>
                <w:spacing w:val="-8"/>
                <w:sz w:val="22"/>
              </w:rPr>
              <w:t>4</w:t>
            </w:r>
          </w:p>
        </w:tc>
        <w:tc>
          <w:tcPr>
            <w:tcW w:w="920" w:type="dxa"/>
            <w:tcBorders>
              <w:left w:val="single" w:color="auto" w:sz="4" w:space="0"/>
              <w:right w:val="single" w:color="auto" w:sz="4" w:space="0"/>
            </w:tcBorders>
            <w:vAlign w:val="center"/>
          </w:tcPr>
          <w:p>
            <w:pPr>
              <w:jc w:val="center"/>
              <w:rPr>
                <w:rFonts w:ascii="Arial" w:hAnsi="Arial" w:cs="Arial"/>
                <w:spacing w:val="-8"/>
                <w:sz w:val="22"/>
              </w:rPr>
            </w:pPr>
            <w:r>
              <w:rPr>
                <w:rFonts w:ascii="Arial" w:hAnsi="Arial" w:cs="Arial"/>
                <w:spacing w:val="-8"/>
                <w:sz w:val="22"/>
              </w:rPr>
              <w:t>POE</w:t>
            </w:r>
          </w:p>
          <w:p>
            <w:pPr>
              <w:jc w:val="center"/>
              <w:rPr>
                <w:rFonts w:ascii="Arial" w:hAnsi="Arial" w:cs="Arial"/>
                <w:spacing w:val="-8"/>
                <w:sz w:val="22"/>
              </w:rPr>
            </w:pPr>
            <w:r>
              <w:rPr>
                <w:rFonts w:ascii="Arial" w:hAnsi="Arial" w:cs="Arial"/>
                <w:spacing w:val="-8"/>
                <w:sz w:val="22"/>
              </w:rPr>
              <w:t>交换机</w:t>
            </w:r>
          </w:p>
        </w:tc>
        <w:tc>
          <w:tcPr>
            <w:tcW w:w="3708" w:type="dxa"/>
            <w:tcBorders>
              <w:left w:val="single" w:color="auto" w:sz="4" w:space="0"/>
              <w:right w:val="single" w:color="auto" w:sz="4" w:space="0"/>
            </w:tcBorders>
            <w:vAlign w:val="center"/>
          </w:tcPr>
          <w:p>
            <w:pPr>
              <w:rPr>
                <w:rFonts w:ascii="Arial" w:hAnsi="Arial" w:cs="Arial"/>
                <w:spacing w:val="-8"/>
                <w:sz w:val="22"/>
              </w:rPr>
            </w:pPr>
            <w:r>
              <w:rPr>
                <w:rFonts w:ascii="Arial" w:hAnsi="Arial" w:cs="Arial"/>
                <w:szCs w:val="21"/>
              </w:rPr>
              <w:t>24个10/100Base-T以太网端口,支持POE</w:t>
            </w:r>
          </w:p>
        </w:tc>
        <w:tc>
          <w:tcPr>
            <w:tcW w:w="695" w:type="dxa"/>
            <w:tcBorders>
              <w:left w:val="single" w:color="auto" w:sz="4" w:space="0"/>
              <w:right w:val="single" w:color="auto" w:sz="4" w:space="0"/>
            </w:tcBorders>
            <w:vAlign w:val="center"/>
          </w:tcPr>
          <w:p>
            <w:pPr>
              <w:widowControl/>
              <w:jc w:val="center"/>
              <w:textAlignment w:val="center"/>
              <w:rPr>
                <w:rFonts w:ascii="Arial" w:hAnsi="Arial" w:cs="Arial"/>
                <w:b/>
                <w:bCs/>
                <w:spacing w:val="-8"/>
                <w:sz w:val="22"/>
              </w:rPr>
            </w:pPr>
            <w:r>
              <w:rPr>
                <w:rFonts w:ascii="Arial" w:hAnsi="Arial" w:cs="Arial"/>
                <w:color w:val="000000"/>
                <w:kern w:val="0"/>
                <w:szCs w:val="21"/>
              </w:rPr>
              <w:t>1</w:t>
            </w:r>
          </w:p>
        </w:tc>
        <w:tc>
          <w:tcPr>
            <w:tcW w:w="873" w:type="dxa"/>
            <w:tcBorders>
              <w:left w:val="single" w:color="auto" w:sz="4" w:space="0"/>
              <w:right w:val="single" w:color="auto" w:sz="4" w:space="0"/>
            </w:tcBorders>
            <w:vAlign w:val="center"/>
          </w:tcPr>
          <w:p>
            <w:pPr>
              <w:widowControl/>
              <w:jc w:val="center"/>
              <w:textAlignment w:val="center"/>
              <w:rPr>
                <w:rFonts w:ascii="Arial" w:hAnsi="Arial" w:cs="Arial"/>
                <w:b/>
                <w:bCs/>
                <w:spacing w:val="-8"/>
                <w:sz w:val="22"/>
              </w:rPr>
            </w:pPr>
            <w:r>
              <w:rPr>
                <w:rFonts w:ascii="Arial" w:hAnsi="Arial" w:cs="Arial"/>
                <w:color w:val="000000"/>
                <w:kern w:val="0"/>
                <w:szCs w:val="21"/>
              </w:rPr>
              <w:t>台</w:t>
            </w:r>
          </w:p>
        </w:tc>
        <w:tc>
          <w:tcPr>
            <w:tcW w:w="805" w:type="dxa"/>
            <w:tcBorders>
              <w:left w:val="single" w:color="auto" w:sz="4" w:space="0"/>
              <w:right w:val="single" w:color="auto" w:sz="4" w:space="0"/>
            </w:tcBorders>
            <w:vAlign w:val="center"/>
          </w:tcPr>
          <w:p>
            <w:pPr>
              <w:jc w:val="center"/>
              <w:rPr>
                <w:rFonts w:ascii="Arial" w:hAnsi="Arial" w:cs="Arial"/>
                <w:b/>
                <w:bCs/>
                <w:spacing w:val="-8"/>
                <w:sz w:val="22"/>
              </w:rPr>
            </w:pPr>
          </w:p>
        </w:tc>
        <w:tc>
          <w:tcPr>
            <w:tcW w:w="872" w:type="dxa"/>
            <w:tcBorders>
              <w:left w:val="single" w:color="auto" w:sz="4" w:space="0"/>
              <w:right w:val="single" w:color="auto" w:sz="4" w:space="0"/>
            </w:tcBorders>
            <w:vAlign w:val="center"/>
          </w:tcPr>
          <w:p>
            <w:pPr>
              <w:jc w:val="center"/>
              <w:rPr>
                <w:rFonts w:ascii="Arial" w:hAnsi="Arial" w:cs="Arial"/>
                <w:b/>
                <w:bCs/>
                <w:spacing w:val="-8"/>
                <w:sz w:val="22"/>
              </w:rPr>
            </w:pPr>
          </w:p>
        </w:tc>
        <w:tc>
          <w:tcPr>
            <w:tcW w:w="1061" w:type="dxa"/>
            <w:tcBorders>
              <w:left w:val="single" w:color="auto" w:sz="4" w:space="0"/>
            </w:tcBorders>
            <w:vAlign w:val="center"/>
          </w:tcPr>
          <w:p>
            <w:pPr>
              <w:jc w:val="center"/>
              <w:rPr>
                <w:rFonts w:ascii="Arial" w:hAnsi="Arial" w:cs="Arial"/>
                <w:b/>
                <w:bCs/>
                <w:spacing w:val="-8"/>
                <w:sz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3" w:hRule="atLeast"/>
        </w:trPr>
        <w:tc>
          <w:tcPr>
            <w:tcW w:w="920" w:type="dxa"/>
            <w:tcBorders>
              <w:right w:val="single" w:color="auto" w:sz="4" w:space="0"/>
            </w:tcBorders>
            <w:vAlign w:val="center"/>
          </w:tcPr>
          <w:p>
            <w:pPr>
              <w:jc w:val="center"/>
              <w:rPr>
                <w:rFonts w:ascii="Arial" w:hAnsi="Arial" w:cs="Arial"/>
                <w:spacing w:val="-8"/>
                <w:sz w:val="22"/>
              </w:rPr>
            </w:pPr>
            <w:r>
              <w:rPr>
                <w:rFonts w:ascii="Arial" w:hAnsi="Arial" w:cs="Arial"/>
                <w:spacing w:val="-8"/>
                <w:sz w:val="22"/>
              </w:rPr>
              <w:t>5</w:t>
            </w:r>
          </w:p>
        </w:tc>
        <w:tc>
          <w:tcPr>
            <w:tcW w:w="920" w:type="dxa"/>
            <w:tcBorders>
              <w:left w:val="single" w:color="auto" w:sz="4" w:space="0"/>
              <w:right w:val="single" w:color="auto" w:sz="4" w:space="0"/>
            </w:tcBorders>
            <w:vAlign w:val="center"/>
          </w:tcPr>
          <w:p>
            <w:pPr>
              <w:jc w:val="center"/>
              <w:rPr>
                <w:rFonts w:ascii="Arial" w:hAnsi="Arial" w:cs="Arial"/>
                <w:spacing w:val="-8"/>
                <w:sz w:val="22"/>
              </w:rPr>
            </w:pPr>
            <w:r>
              <w:rPr>
                <w:rFonts w:ascii="Arial" w:hAnsi="Arial" w:cs="Arial"/>
                <w:spacing w:val="-8"/>
                <w:sz w:val="22"/>
              </w:rPr>
              <w:t>POE</w:t>
            </w:r>
          </w:p>
          <w:p>
            <w:pPr>
              <w:jc w:val="center"/>
              <w:rPr>
                <w:rFonts w:ascii="Arial" w:hAnsi="Arial" w:cs="Arial"/>
                <w:spacing w:val="-8"/>
                <w:sz w:val="22"/>
              </w:rPr>
            </w:pPr>
            <w:r>
              <w:rPr>
                <w:rFonts w:ascii="Arial" w:hAnsi="Arial" w:cs="Arial"/>
                <w:spacing w:val="-8"/>
                <w:sz w:val="22"/>
              </w:rPr>
              <w:t>交换机</w:t>
            </w:r>
          </w:p>
        </w:tc>
        <w:tc>
          <w:tcPr>
            <w:tcW w:w="3708" w:type="dxa"/>
            <w:tcBorders>
              <w:left w:val="single" w:color="auto" w:sz="4" w:space="0"/>
              <w:right w:val="single" w:color="auto" w:sz="4" w:space="0"/>
            </w:tcBorders>
            <w:vAlign w:val="center"/>
          </w:tcPr>
          <w:p>
            <w:pPr>
              <w:rPr>
                <w:rFonts w:ascii="Arial" w:hAnsi="Arial" w:cs="Arial"/>
                <w:spacing w:val="-8"/>
                <w:sz w:val="22"/>
              </w:rPr>
            </w:pPr>
            <w:r>
              <w:rPr>
                <w:rFonts w:ascii="Arial" w:hAnsi="Arial" w:cs="Arial"/>
                <w:szCs w:val="21"/>
              </w:rPr>
              <w:t>8个10/100Base-T以太网端口,支持POE</w:t>
            </w:r>
          </w:p>
        </w:tc>
        <w:tc>
          <w:tcPr>
            <w:tcW w:w="695" w:type="dxa"/>
            <w:tcBorders>
              <w:left w:val="single" w:color="auto" w:sz="4" w:space="0"/>
              <w:right w:val="single" w:color="auto" w:sz="4" w:space="0"/>
            </w:tcBorders>
            <w:vAlign w:val="center"/>
          </w:tcPr>
          <w:p>
            <w:pPr>
              <w:widowControl/>
              <w:jc w:val="center"/>
              <w:textAlignment w:val="center"/>
              <w:rPr>
                <w:rFonts w:ascii="Arial" w:hAnsi="Arial" w:cs="Arial"/>
                <w:b/>
                <w:bCs/>
                <w:spacing w:val="-8"/>
                <w:sz w:val="22"/>
              </w:rPr>
            </w:pPr>
            <w:r>
              <w:rPr>
                <w:rFonts w:ascii="Arial" w:hAnsi="Arial" w:cs="Arial"/>
                <w:color w:val="000000"/>
                <w:kern w:val="0"/>
                <w:szCs w:val="21"/>
              </w:rPr>
              <w:t>1</w:t>
            </w:r>
          </w:p>
        </w:tc>
        <w:tc>
          <w:tcPr>
            <w:tcW w:w="873" w:type="dxa"/>
            <w:tcBorders>
              <w:left w:val="single" w:color="auto" w:sz="4" w:space="0"/>
              <w:right w:val="single" w:color="auto" w:sz="4" w:space="0"/>
            </w:tcBorders>
            <w:vAlign w:val="center"/>
          </w:tcPr>
          <w:p>
            <w:pPr>
              <w:widowControl/>
              <w:jc w:val="center"/>
              <w:textAlignment w:val="center"/>
              <w:rPr>
                <w:rFonts w:ascii="Arial" w:hAnsi="Arial" w:cs="Arial"/>
                <w:b/>
                <w:bCs/>
                <w:spacing w:val="-8"/>
                <w:sz w:val="22"/>
              </w:rPr>
            </w:pPr>
            <w:r>
              <w:rPr>
                <w:rFonts w:ascii="Arial" w:hAnsi="Arial" w:cs="Arial"/>
                <w:color w:val="000000"/>
                <w:kern w:val="0"/>
                <w:szCs w:val="21"/>
              </w:rPr>
              <w:t>台</w:t>
            </w:r>
          </w:p>
        </w:tc>
        <w:tc>
          <w:tcPr>
            <w:tcW w:w="805" w:type="dxa"/>
            <w:tcBorders>
              <w:left w:val="single" w:color="auto" w:sz="4" w:space="0"/>
              <w:right w:val="single" w:color="auto" w:sz="4" w:space="0"/>
            </w:tcBorders>
            <w:vAlign w:val="center"/>
          </w:tcPr>
          <w:p>
            <w:pPr>
              <w:jc w:val="center"/>
              <w:rPr>
                <w:rFonts w:ascii="Arial" w:hAnsi="Arial" w:cs="Arial"/>
                <w:b/>
                <w:bCs/>
                <w:spacing w:val="-8"/>
                <w:sz w:val="22"/>
              </w:rPr>
            </w:pPr>
          </w:p>
        </w:tc>
        <w:tc>
          <w:tcPr>
            <w:tcW w:w="872" w:type="dxa"/>
            <w:tcBorders>
              <w:left w:val="single" w:color="auto" w:sz="4" w:space="0"/>
              <w:right w:val="single" w:color="auto" w:sz="4" w:space="0"/>
            </w:tcBorders>
            <w:vAlign w:val="center"/>
          </w:tcPr>
          <w:p>
            <w:pPr>
              <w:jc w:val="center"/>
              <w:rPr>
                <w:rFonts w:ascii="Arial" w:hAnsi="Arial" w:cs="Arial"/>
                <w:b/>
                <w:bCs/>
                <w:spacing w:val="-8"/>
                <w:sz w:val="22"/>
              </w:rPr>
            </w:pPr>
          </w:p>
        </w:tc>
        <w:tc>
          <w:tcPr>
            <w:tcW w:w="1061" w:type="dxa"/>
            <w:tcBorders>
              <w:left w:val="single" w:color="auto" w:sz="4" w:space="0"/>
            </w:tcBorders>
            <w:vAlign w:val="center"/>
          </w:tcPr>
          <w:p>
            <w:pPr>
              <w:jc w:val="center"/>
              <w:rPr>
                <w:rFonts w:ascii="Arial" w:hAnsi="Arial" w:cs="Arial"/>
                <w:b/>
                <w:bCs/>
                <w:spacing w:val="-8"/>
                <w:sz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3" w:hRule="atLeast"/>
        </w:trPr>
        <w:tc>
          <w:tcPr>
            <w:tcW w:w="920" w:type="dxa"/>
            <w:tcBorders>
              <w:right w:val="single" w:color="auto" w:sz="4" w:space="0"/>
            </w:tcBorders>
            <w:vAlign w:val="center"/>
          </w:tcPr>
          <w:p>
            <w:pPr>
              <w:jc w:val="center"/>
              <w:rPr>
                <w:rFonts w:ascii="Arial" w:hAnsi="Arial" w:cs="Arial"/>
                <w:spacing w:val="-8"/>
                <w:sz w:val="22"/>
              </w:rPr>
            </w:pPr>
            <w:r>
              <w:rPr>
                <w:rFonts w:ascii="Arial" w:hAnsi="Arial" w:cs="Arial"/>
                <w:spacing w:val="-8"/>
                <w:sz w:val="22"/>
              </w:rPr>
              <w:t>6</w:t>
            </w:r>
          </w:p>
        </w:tc>
        <w:tc>
          <w:tcPr>
            <w:tcW w:w="920" w:type="dxa"/>
            <w:tcBorders>
              <w:left w:val="single" w:color="auto" w:sz="4" w:space="0"/>
              <w:right w:val="single" w:color="auto" w:sz="4" w:space="0"/>
            </w:tcBorders>
            <w:vAlign w:val="center"/>
          </w:tcPr>
          <w:p>
            <w:pPr>
              <w:jc w:val="center"/>
              <w:rPr>
                <w:rFonts w:ascii="Arial" w:hAnsi="Arial" w:cs="Arial"/>
                <w:spacing w:val="-8"/>
                <w:sz w:val="22"/>
              </w:rPr>
            </w:pPr>
            <w:r>
              <w:rPr>
                <w:rFonts w:ascii="Arial" w:hAnsi="Arial" w:cs="Arial"/>
                <w:spacing w:val="-8"/>
                <w:sz w:val="22"/>
              </w:rPr>
              <w:t>6类</w:t>
            </w:r>
          </w:p>
          <w:p>
            <w:pPr>
              <w:jc w:val="center"/>
              <w:rPr>
                <w:rFonts w:ascii="Arial" w:hAnsi="Arial" w:cs="Arial"/>
                <w:spacing w:val="-8"/>
                <w:sz w:val="22"/>
              </w:rPr>
            </w:pPr>
            <w:r>
              <w:rPr>
                <w:rFonts w:ascii="Arial" w:hAnsi="Arial" w:cs="Arial"/>
                <w:spacing w:val="-8"/>
                <w:sz w:val="22"/>
              </w:rPr>
              <w:t>双绞线</w:t>
            </w:r>
          </w:p>
        </w:tc>
        <w:tc>
          <w:tcPr>
            <w:tcW w:w="3708" w:type="dxa"/>
            <w:tcBorders>
              <w:left w:val="single" w:color="auto" w:sz="4" w:space="0"/>
              <w:right w:val="single" w:color="auto" w:sz="4" w:space="0"/>
            </w:tcBorders>
            <w:vAlign w:val="center"/>
          </w:tcPr>
          <w:p>
            <w:pPr>
              <w:rPr>
                <w:rFonts w:ascii="Arial" w:hAnsi="Arial" w:cs="Arial"/>
                <w:spacing w:val="-8"/>
                <w:sz w:val="22"/>
              </w:rPr>
            </w:pPr>
            <w:r>
              <w:rPr>
                <w:rFonts w:ascii="Arial" w:hAnsi="Arial" w:cs="Arial"/>
                <w:szCs w:val="21"/>
              </w:rPr>
              <w:t>6类非屏蔽室内双绞线（含水晶头）</w:t>
            </w:r>
            <w:r>
              <w:rPr>
                <w:rFonts w:hint="eastAsia" w:ascii="Arial" w:hAnsi="Arial" w:cs="Arial"/>
                <w:szCs w:val="21"/>
              </w:rPr>
              <w:t>，</w:t>
            </w:r>
            <w:r>
              <w:rPr>
                <w:rFonts w:hint="eastAsia" w:ascii="Arial" w:hAnsi="Arial" w:cs="Arial"/>
                <w:szCs w:val="21"/>
                <w:shd w:val="clear" w:fill="FFFFFF" w:themeFill="background1"/>
                <w:lang w:val="en-US" w:eastAsia="zh-CN"/>
              </w:rPr>
              <w:t>≥</w:t>
            </w:r>
            <w:r>
              <w:rPr>
                <w:rFonts w:hint="eastAsia" w:ascii="Arial" w:hAnsi="Arial" w:cs="Arial"/>
                <w:szCs w:val="21"/>
                <w:shd w:val="clear" w:fill="FFFFFF" w:themeFill="background1"/>
              </w:rPr>
              <w:t>30</w:t>
            </w:r>
            <w:r>
              <w:rPr>
                <w:rFonts w:hint="eastAsia" w:ascii="Arial" w:hAnsi="Arial" w:cs="Arial"/>
                <w:szCs w:val="21"/>
                <w:shd w:val="clear" w:fill="FFFFFF" w:themeFill="background1"/>
                <w:lang w:val="en-US" w:eastAsia="zh-CN"/>
              </w:rPr>
              <w:t>0</w:t>
            </w:r>
            <w:r>
              <w:rPr>
                <w:rFonts w:hint="eastAsia" w:ascii="Arial" w:hAnsi="Arial" w:cs="Arial"/>
                <w:szCs w:val="21"/>
                <w:shd w:val="clear" w:fill="FFFFFF" w:themeFill="background1"/>
              </w:rPr>
              <w:t>米/箱</w:t>
            </w:r>
          </w:p>
        </w:tc>
        <w:tc>
          <w:tcPr>
            <w:tcW w:w="695" w:type="dxa"/>
            <w:tcBorders>
              <w:left w:val="single" w:color="auto" w:sz="4" w:space="0"/>
              <w:right w:val="single" w:color="auto" w:sz="4" w:space="0"/>
            </w:tcBorders>
            <w:vAlign w:val="center"/>
          </w:tcPr>
          <w:p>
            <w:pPr>
              <w:widowControl/>
              <w:jc w:val="center"/>
              <w:textAlignment w:val="center"/>
              <w:rPr>
                <w:rFonts w:ascii="Arial" w:hAnsi="Arial" w:cs="Arial"/>
                <w:b/>
                <w:bCs/>
                <w:spacing w:val="-8"/>
                <w:sz w:val="22"/>
              </w:rPr>
            </w:pPr>
            <w:r>
              <w:rPr>
                <w:rFonts w:ascii="Arial" w:hAnsi="Arial" w:cs="Arial"/>
                <w:color w:val="000000"/>
                <w:kern w:val="0"/>
                <w:szCs w:val="21"/>
              </w:rPr>
              <w:t>6</w:t>
            </w:r>
          </w:p>
        </w:tc>
        <w:tc>
          <w:tcPr>
            <w:tcW w:w="873" w:type="dxa"/>
            <w:tcBorders>
              <w:left w:val="single" w:color="auto" w:sz="4" w:space="0"/>
              <w:right w:val="single" w:color="auto" w:sz="4" w:space="0"/>
            </w:tcBorders>
            <w:vAlign w:val="center"/>
          </w:tcPr>
          <w:p>
            <w:pPr>
              <w:widowControl/>
              <w:jc w:val="center"/>
              <w:textAlignment w:val="center"/>
              <w:rPr>
                <w:rFonts w:ascii="Arial" w:hAnsi="Arial" w:cs="Arial"/>
                <w:b/>
                <w:bCs/>
                <w:spacing w:val="-8"/>
                <w:sz w:val="22"/>
              </w:rPr>
            </w:pPr>
            <w:r>
              <w:rPr>
                <w:rFonts w:ascii="Arial" w:hAnsi="Arial" w:cs="Arial"/>
                <w:color w:val="000000"/>
                <w:kern w:val="0"/>
                <w:szCs w:val="21"/>
              </w:rPr>
              <w:t>箱</w:t>
            </w:r>
          </w:p>
        </w:tc>
        <w:tc>
          <w:tcPr>
            <w:tcW w:w="805" w:type="dxa"/>
            <w:tcBorders>
              <w:left w:val="single" w:color="auto" w:sz="4" w:space="0"/>
              <w:right w:val="single" w:color="auto" w:sz="4" w:space="0"/>
            </w:tcBorders>
            <w:vAlign w:val="center"/>
          </w:tcPr>
          <w:p>
            <w:pPr>
              <w:jc w:val="center"/>
              <w:rPr>
                <w:rFonts w:ascii="Arial" w:hAnsi="Arial" w:cs="Arial"/>
                <w:b/>
                <w:bCs/>
                <w:spacing w:val="-8"/>
                <w:sz w:val="22"/>
              </w:rPr>
            </w:pPr>
          </w:p>
        </w:tc>
        <w:tc>
          <w:tcPr>
            <w:tcW w:w="872" w:type="dxa"/>
            <w:tcBorders>
              <w:left w:val="single" w:color="auto" w:sz="4" w:space="0"/>
              <w:right w:val="single" w:color="auto" w:sz="4" w:space="0"/>
            </w:tcBorders>
            <w:vAlign w:val="center"/>
          </w:tcPr>
          <w:p>
            <w:pPr>
              <w:jc w:val="center"/>
              <w:rPr>
                <w:rFonts w:ascii="Arial" w:hAnsi="Arial" w:cs="Arial"/>
                <w:b/>
                <w:bCs/>
                <w:spacing w:val="-8"/>
                <w:sz w:val="22"/>
              </w:rPr>
            </w:pPr>
          </w:p>
        </w:tc>
        <w:tc>
          <w:tcPr>
            <w:tcW w:w="1061" w:type="dxa"/>
            <w:tcBorders>
              <w:left w:val="single" w:color="auto" w:sz="4" w:space="0"/>
            </w:tcBorders>
            <w:vAlign w:val="center"/>
          </w:tcPr>
          <w:p>
            <w:pPr>
              <w:jc w:val="center"/>
              <w:rPr>
                <w:rFonts w:ascii="Arial" w:hAnsi="Arial" w:cs="Arial"/>
                <w:b/>
                <w:bCs/>
                <w:spacing w:val="-8"/>
                <w:sz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3" w:hRule="atLeast"/>
        </w:trPr>
        <w:tc>
          <w:tcPr>
            <w:tcW w:w="920" w:type="dxa"/>
            <w:tcBorders>
              <w:right w:val="single" w:color="auto" w:sz="4" w:space="0"/>
            </w:tcBorders>
            <w:vAlign w:val="center"/>
          </w:tcPr>
          <w:p>
            <w:pPr>
              <w:jc w:val="center"/>
              <w:rPr>
                <w:rFonts w:ascii="Arial" w:hAnsi="Arial" w:cs="Arial"/>
                <w:spacing w:val="-8"/>
                <w:sz w:val="22"/>
              </w:rPr>
            </w:pPr>
            <w:r>
              <w:rPr>
                <w:rFonts w:ascii="Arial" w:hAnsi="Arial" w:cs="Arial"/>
                <w:spacing w:val="-8"/>
                <w:sz w:val="22"/>
              </w:rPr>
              <w:t>7</w:t>
            </w:r>
          </w:p>
        </w:tc>
        <w:tc>
          <w:tcPr>
            <w:tcW w:w="920" w:type="dxa"/>
            <w:tcBorders>
              <w:left w:val="single" w:color="auto" w:sz="4" w:space="0"/>
              <w:right w:val="single" w:color="auto" w:sz="4" w:space="0"/>
            </w:tcBorders>
            <w:vAlign w:val="center"/>
          </w:tcPr>
          <w:p>
            <w:pPr>
              <w:jc w:val="center"/>
              <w:rPr>
                <w:rFonts w:ascii="Arial" w:hAnsi="Arial" w:cs="Arial"/>
                <w:spacing w:val="-8"/>
                <w:sz w:val="22"/>
              </w:rPr>
            </w:pPr>
            <w:r>
              <w:rPr>
                <w:rFonts w:ascii="Arial" w:hAnsi="Arial" w:cs="Arial"/>
                <w:spacing w:val="-8"/>
                <w:sz w:val="22"/>
              </w:rPr>
              <w:t>技术</w:t>
            </w:r>
          </w:p>
          <w:p>
            <w:pPr>
              <w:jc w:val="center"/>
              <w:rPr>
                <w:rFonts w:ascii="Arial" w:hAnsi="Arial" w:cs="Arial"/>
                <w:spacing w:val="-8"/>
                <w:sz w:val="22"/>
              </w:rPr>
            </w:pPr>
            <w:r>
              <w:rPr>
                <w:rFonts w:ascii="Arial" w:hAnsi="Arial" w:cs="Arial"/>
                <w:spacing w:val="-8"/>
                <w:sz w:val="22"/>
              </w:rPr>
              <w:t>服务</w:t>
            </w:r>
          </w:p>
        </w:tc>
        <w:tc>
          <w:tcPr>
            <w:tcW w:w="3708" w:type="dxa"/>
            <w:tcBorders>
              <w:left w:val="single" w:color="auto" w:sz="4" w:space="0"/>
              <w:right w:val="single" w:color="auto" w:sz="4" w:space="0"/>
            </w:tcBorders>
            <w:vAlign w:val="center"/>
          </w:tcPr>
          <w:p>
            <w:pPr>
              <w:rPr>
                <w:rFonts w:ascii="Arial" w:hAnsi="Arial" w:cs="Arial"/>
                <w:spacing w:val="-8"/>
                <w:sz w:val="22"/>
              </w:rPr>
            </w:pPr>
            <w:r>
              <w:rPr>
                <w:rFonts w:ascii="Arial" w:hAnsi="Arial" w:cs="Arial"/>
                <w:szCs w:val="21"/>
              </w:rPr>
              <w:t>敷设材料、安装、兼容平台调试、施工管理、配电设备、连接跳线其它等</w:t>
            </w:r>
          </w:p>
        </w:tc>
        <w:tc>
          <w:tcPr>
            <w:tcW w:w="695" w:type="dxa"/>
            <w:tcBorders>
              <w:left w:val="single" w:color="auto" w:sz="4" w:space="0"/>
              <w:right w:val="single" w:color="auto" w:sz="4" w:space="0"/>
            </w:tcBorders>
            <w:vAlign w:val="center"/>
          </w:tcPr>
          <w:p>
            <w:pPr>
              <w:widowControl/>
              <w:jc w:val="center"/>
              <w:textAlignment w:val="center"/>
              <w:rPr>
                <w:rFonts w:ascii="Arial" w:hAnsi="Arial" w:cs="Arial"/>
                <w:b/>
                <w:bCs/>
                <w:spacing w:val="-8"/>
                <w:sz w:val="22"/>
              </w:rPr>
            </w:pPr>
            <w:r>
              <w:rPr>
                <w:rFonts w:ascii="Arial" w:hAnsi="Arial" w:cs="Arial"/>
                <w:color w:val="000000"/>
                <w:kern w:val="0"/>
                <w:szCs w:val="21"/>
              </w:rPr>
              <w:t>1</w:t>
            </w:r>
          </w:p>
        </w:tc>
        <w:tc>
          <w:tcPr>
            <w:tcW w:w="873" w:type="dxa"/>
            <w:tcBorders>
              <w:left w:val="single" w:color="auto" w:sz="4" w:space="0"/>
              <w:right w:val="single" w:color="auto" w:sz="4" w:space="0"/>
            </w:tcBorders>
            <w:vAlign w:val="center"/>
          </w:tcPr>
          <w:p>
            <w:pPr>
              <w:widowControl/>
              <w:jc w:val="center"/>
              <w:textAlignment w:val="center"/>
              <w:rPr>
                <w:rFonts w:ascii="Arial" w:hAnsi="Arial" w:cs="Arial"/>
                <w:b/>
                <w:bCs/>
                <w:spacing w:val="-8"/>
                <w:sz w:val="22"/>
              </w:rPr>
            </w:pPr>
            <w:r>
              <w:rPr>
                <w:rFonts w:ascii="Arial" w:hAnsi="Arial" w:cs="Arial"/>
                <w:color w:val="000000"/>
                <w:kern w:val="0"/>
                <w:szCs w:val="21"/>
              </w:rPr>
              <w:t>项</w:t>
            </w:r>
          </w:p>
        </w:tc>
        <w:tc>
          <w:tcPr>
            <w:tcW w:w="805" w:type="dxa"/>
            <w:tcBorders>
              <w:left w:val="single" w:color="auto" w:sz="4" w:space="0"/>
              <w:right w:val="single" w:color="auto" w:sz="4" w:space="0"/>
            </w:tcBorders>
            <w:vAlign w:val="center"/>
          </w:tcPr>
          <w:p>
            <w:pPr>
              <w:jc w:val="center"/>
              <w:rPr>
                <w:rFonts w:ascii="Arial" w:hAnsi="Arial" w:cs="Arial"/>
                <w:b/>
                <w:bCs/>
                <w:spacing w:val="-8"/>
                <w:sz w:val="22"/>
              </w:rPr>
            </w:pPr>
          </w:p>
        </w:tc>
        <w:tc>
          <w:tcPr>
            <w:tcW w:w="872" w:type="dxa"/>
            <w:tcBorders>
              <w:left w:val="single" w:color="auto" w:sz="4" w:space="0"/>
              <w:right w:val="single" w:color="auto" w:sz="4" w:space="0"/>
            </w:tcBorders>
            <w:vAlign w:val="center"/>
          </w:tcPr>
          <w:p>
            <w:pPr>
              <w:jc w:val="center"/>
              <w:rPr>
                <w:rFonts w:ascii="Arial" w:hAnsi="Arial" w:cs="Arial"/>
                <w:b/>
                <w:bCs/>
                <w:spacing w:val="-8"/>
                <w:sz w:val="22"/>
              </w:rPr>
            </w:pPr>
          </w:p>
        </w:tc>
        <w:tc>
          <w:tcPr>
            <w:tcW w:w="1061" w:type="dxa"/>
            <w:tcBorders>
              <w:left w:val="single" w:color="auto" w:sz="4" w:space="0"/>
            </w:tcBorders>
            <w:vAlign w:val="center"/>
          </w:tcPr>
          <w:p>
            <w:pPr>
              <w:jc w:val="center"/>
              <w:rPr>
                <w:rFonts w:ascii="Arial" w:hAnsi="Arial" w:cs="Arial"/>
                <w:b/>
                <w:bCs/>
                <w:spacing w:val="-8"/>
                <w:sz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3" w:hRule="atLeast"/>
        </w:trPr>
        <w:tc>
          <w:tcPr>
            <w:tcW w:w="9854" w:type="dxa"/>
            <w:gridSpan w:val="8"/>
            <w:vAlign w:val="center"/>
          </w:tcPr>
          <w:p>
            <w:pPr>
              <w:jc w:val="center"/>
              <w:rPr>
                <w:rFonts w:ascii="Arial" w:hAnsi="Arial" w:cs="Arial"/>
                <w:spacing w:val="-8"/>
                <w:sz w:val="22"/>
              </w:rPr>
            </w:pPr>
            <w:r>
              <w:rPr>
                <w:rFonts w:ascii="Arial" w:hAnsi="Arial" w:cs="Arial"/>
                <w:spacing w:val="-8"/>
                <w:sz w:val="22"/>
              </w:rPr>
              <w:t xml:space="preserve">总报价：人民币（大写）                                                               </w:t>
            </w:r>
            <w:r>
              <w:rPr>
                <w:rFonts w:ascii="Arial" w:hAnsi="Arial" w:cs="Arial"/>
                <w:spacing w:val="-8"/>
                <w:kern w:val="0"/>
                <w:sz w:val="22"/>
                <w:lang w:bidi="en-US"/>
              </w:rPr>
              <w:t>（¥              ）</w:t>
            </w:r>
          </w:p>
        </w:tc>
      </w:tr>
    </w:tbl>
    <w:p>
      <w:pPr>
        <w:rPr>
          <w:rFonts w:ascii="Arial" w:hAnsi="Arial" w:cs="Arial"/>
        </w:rPr>
      </w:pPr>
    </w:p>
    <w:p>
      <w:pPr>
        <w:widowControl/>
        <w:spacing w:after="200" w:line="276" w:lineRule="auto"/>
        <w:jc w:val="left"/>
        <w:rPr>
          <w:rFonts w:hint="default" w:ascii="Arial" w:hAnsi="Arial" w:cs="Arial"/>
          <w:kern w:val="0"/>
          <w:sz w:val="22"/>
          <w:szCs w:val="22"/>
        </w:rPr>
      </w:pPr>
    </w:p>
    <w:p>
      <w:pPr>
        <w:widowControl/>
        <w:spacing w:after="200" w:line="276" w:lineRule="auto"/>
        <w:jc w:val="left"/>
        <w:rPr>
          <w:rFonts w:hint="default" w:ascii="Arial" w:hAnsi="Arial" w:cs="Arial"/>
          <w:kern w:val="0"/>
          <w:sz w:val="22"/>
          <w:szCs w:val="22"/>
        </w:rPr>
      </w:pPr>
      <w:r>
        <w:rPr>
          <w:rFonts w:hint="default" w:ascii="Arial" w:hAnsi="Arial" w:cs="Arial"/>
          <w:kern w:val="0"/>
          <w:sz w:val="22"/>
          <w:szCs w:val="22"/>
        </w:rPr>
        <w:t>报价人单位（公章）：                       法定代表人（或负责人）（签名）：</w:t>
      </w:r>
      <w:r>
        <w:rPr>
          <w:rFonts w:hint="default" w:ascii="Arial" w:hAnsi="Arial" w:cs="Arial"/>
          <w:kern w:val="0"/>
          <w:sz w:val="22"/>
          <w:szCs w:val="22"/>
          <w:u w:val="single"/>
        </w:rPr>
        <w:t xml:space="preserve">                             </w:t>
      </w:r>
    </w:p>
    <w:p>
      <w:pPr>
        <w:widowControl/>
        <w:spacing w:after="200" w:line="276" w:lineRule="auto"/>
        <w:jc w:val="left"/>
        <w:rPr>
          <w:rFonts w:hint="default" w:ascii="Arial" w:hAnsi="Arial" w:cs="Arial"/>
          <w:kern w:val="0"/>
          <w:sz w:val="22"/>
          <w:szCs w:val="22"/>
          <w:u w:val="single"/>
        </w:rPr>
      </w:pPr>
      <w:r>
        <w:rPr>
          <w:rFonts w:hint="default" w:ascii="Arial" w:hAnsi="Arial" w:cs="Arial"/>
          <w:kern w:val="0"/>
          <w:sz w:val="22"/>
          <w:szCs w:val="22"/>
        </w:rPr>
        <w:t>地址：</w:t>
      </w:r>
      <w:r>
        <w:rPr>
          <w:rFonts w:hint="default" w:ascii="Arial" w:hAnsi="Arial" w:cs="Arial"/>
          <w:kern w:val="0"/>
          <w:sz w:val="22"/>
          <w:szCs w:val="22"/>
          <w:u w:val="single"/>
        </w:rPr>
        <w:t xml:space="preserve">                        </w:t>
      </w:r>
      <w:r>
        <w:rPr>
          <w:rFonts w:hint="default" w:ascii="Arial" w:hAnsi="Arial" w:cs="Arial"/>
          <w:kern w:val="0"/>
          <w:sz w:val="22"/>
          <w:szCs w:val="22"/>
        </w:rPr>
        <w:t>邮政编码：</w:t>
      </w:r>
      <w:r>
        <w:rPr>
          <w:rFonts w:hint="default" w:ascii="Arial" w:hAnsi="Arial" w:cs="Arial"/>
          <w:kern w:val="0"/>
          <w:sz w:val="22"/>
          <w:szCs w:val="22"/>
          <w:u w:val="single"/>
        </w:rPr>
        <w:t xml:space="preserve">                       </w:t>
      </w:r>
      <w:r>
        <w:rPr>
          <w:rFonts w:hint="default" w:ascii="Arial" w:hAnsi="Arial" w:cs="Arial"/>
          <w:kern w:val="0"/>
          <w:sz w:val="22"/>
          <w:szCs w:val="22"/>
        </w:rPr>
        <w:t>电话：</w:t>
      </w:r>
      <w:r>
        <w:rPr>
          <w:rFonts w:hint="default" w:ascii="Arial" w:hAnsi="Arial" w:cs="Arial"/>
          <w:kern w:val="0"/>
          <w:sz w:val="22"/>
          <w:szCs w:val="22"/>
          <w:u w:val="single"/>
        </w:rPr>
        <w:t xml:space="preserve">                             </w:t>
      </w:r>
    </w:p>
    <w:p>
      <w:pPr>
        <w:widowControl/>
        <w:spacing w:after="200" w:line="276" w:lineRule="auto"/>
        <w:jc w:val="left"/>
        <w:rPr>
          <w:rFonts w:hint="default" w:ascii="Arial" w:hAnsi="Arial" w:cs="Arial"/>
          <w:kern w:val="0"/>
          <w:sz w:val="22"/>
          <w:szCs w:val="22"/>
        </w:rPr>
      </w:pPr>
      <w:r>
        <w:rPr>
          <w:rFonts w:hint="default" w:ascii="Arial" w:hAnsi="Arial" w:cs="Arial"/>
          <w:kern w:val="0"/>
          <w:sz w:val="22"/>
          <w:szCs w:val="22"/>
        </w:rPr>
        <w:t>转账全称：</w:t>
      </w:r>
      <w:r>
        <w:rPr>
          <w:rFonts w:hint="default" w:ascii="Arial" w:hAnsi="Arial" w:cs="Arial"/>
          <w:kern w:val="0"/>
          <w:sz w:val="22"/>
          <w:szCs w:val="22"/>
          <w:u w:val="single"/>
        </w:rPr>
        <w:t xml:space="preserve">                                </w:t>
      </w:r>
      <w:r>
        <w:rPr>
          <w:rFonts w:hint="default" w:ascii="Arial" w:hAnsi="Arial" w:cs="Arial"/>
          <w:kern w:val="0"/>
          <w:sz w:val="22"/>
          <w:szCs w:val="22"/>
        </w:rPr>
        <w:t>对公帐号：</w:t>
      </w:r>
      <w:r>
        <w:rPr>
          <w:rFonts w:hint="default" w:ascii="Arial" w:hAnsi="Arial" w:cs="Arial"/>
          <w:kern w:val="0"/>
          <w:sz w:val="22"/>
          <w:szCs w:val="22"/>
          <w:u w:val="single"/>
        </w:rPr>
        <w:t xml:space="preserve">                                                      </w:t>
      </w:r>
    </w:p>
    <w:p>
      <w:pPr>
        <w:widowControl/>
        <w:spacing w:after="200" w:line="276" w:lineRule="auto"/>
        <w:jc w:val="left"/>
        <w:rPr>
          <w:rFonts w:hint="default" w:ascii="Arial" w:hAnsi="Arial" w:cs="Arial"/>
          <w:kern w:val="0"/>
          <w:sz w:val="22"/>
          <w:szCs w:val="22"/>
        </w:rPr>
      </w:pPr>
      <w:r>
        <w:rPr>
          <w:rFonts w:hint="default" w:ascii="Arial" w:hAnsi="Arial" w:cs="Arial"/>
          <w:kern w:val="0"/>
          <w:sz w:val="22"/>
          <w:szCs w:val="22"/>
        </w:rPr>
        <w:t>开户行：</w:t>
      </w:r>
      <w:r>
        <w:rPr>
          <w:rFonts w:hint="default" w:ascii="Arial" w:hAnsi="Arial" w:cs="Arial"/>
          <w:kern w:val="0"/>
          <w:sz w:val="22"/>
          <w:szCs w:val="22"/>
          <w:u w:val="single"/>
        </w:rPr>
        <w:t xml:space="preserve">                                    </w:t>
      </w:r>
    </w:p>
    <w:p>
      <w:pPr>
        <w:rPr>
          <w:rFonts w:hint="default"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14"/>
        <w:widowControl/>
        <w:numPr>
          <w:ilvl w:val="0"/>
          <w:numId w:val="1"/>
        </w:numPr>
        <w:ind w:firstLineChars="0"/>
        <w:rPr>
          <w:rFonts w:ascii="Arial" w:hAnsi="Arial" w:cs="Arial"/>
          <w:bCs/>
          <w:kern w:val="0"/>
          <w:sz w:val="24"/>
          <w:szCs w:val="24"/>
        </w:rPr>
      </w:pPr>
      <w:r>
        <w:rPr>
          <w:rFonts w:ascii="Arial" w:hAnsi="Arial" w:cs="Arial"/>
          <w:bCs/>
          <w:kern w:val="0"/>
          <w:sz w:val="24"/>
          <w:szCs w:val="24"/>
        </w:rPr>
        <w:t xml:space="preserve">采购要求：（以下要求报价供应商必须满足否则视为无效）  </w:t>
      </w:r>
    </w:p>
    <w:p>
      <w:pPr>
        <w:widowControl/>
        <w:ind w:left="-540"/>
        <w:rPr>
          <w:rFonts w:ascii="Arial" w:hAnsi="Arial" w:cs="Arial"/>
          <w:bCs/>
          <w:kern w:val="0"/>
          <w:sz w:val="24"/>
          <w:szCs w:val="24"/>
        </w:rPr>
      </w:pPr>
    </w:p>
    <w:p>
      <w:pPr>
        <w:widowControl/>
        <w:ind w:left="-540"/>
        <w:rPr>
          <w:rFonts w:ascii="Arial" w:hAnsi="Arial" w:cs="Arial"/>
          <w:bCs/>
          <w:kern w:val="0"/>
          <w:sz w:val="24"/>
          <w:szCs w:val="24"/>
        </w:rPr>
      </w:pPr>
      <w:r>
        <w:rPr>
          <w:rFonts w:ascii="Arial" w:hAnsi="Arial" w:cs="Arial"/>
          <w:kern w:val="0"/>
          <w:sz w:val="24"/>
          <w:szCs w:val="24"/>
        </w:rPr>
        <w:t>1. 基本要求：</w:t>
      </w:r>
    </w:p>
    <w:p>
      <w:pPr>
        <w:widowControl/>
        <w:ind w:left="-540"/>
        <w:rPr>
          <w:rFonts w:ascii="Arial" w:hAnsi="Arial" w:cs="Arial"/>
          <w:sz w:val="24"/>
        </w:rPr>
      </w:pPr>
      <w:r>
        <w:rPr>
          <w:rFonts w:ascii="Arial" w:hAnsi="Arial" w:cs="Arial"/>
          <w:sz w:val="24"/>
        </w:rPr>
        <w:t>（1）资质要求：国内注册（指按国家工商管理有关规定要求注册的）经营范围达到本次采购项目要求，具有独立法人资格的供应商。</w:t>
      </w:r>
    </w:p>
    <w:p>
      <w:pPr>
        <w:widowControl/>
        <w:ind w:left="-540"/>
        <w:rPr>
          <w:rFonts w:ascii="Arial" w:hAnsi="Arial" w:cs="Arial"/>
          <w:kern w:val="0"/>
          <w:sz w:val="24"/>
          <w:szCs w:val="24"/>
        </w:rPr>
      </w:pPr>
      <w:r>
        <w:rPr>
          <w:rFonts w:ascii="Arial" w:hAnsi="Arial" w:cs="Arial"/>
          <w:sz w:val="24"/>
        </w:rPr>
        <w:t>（2）单位负责人为同一人或者存在直接控股、管理关系的不同供应商，或者为夫妻、直系血亲的不同供应商，不得参加同一合同项下的采购活动。</w:t>
      </w:r>
    </w:p>
    <w:p>
      <w:pPr>
        <w:widowControl/>
        <w:ind w:left="-540" w:leftChars="-257"/>
        <w:rPr>
          <w:rFonts w:ascii="Arial" w:hAnsi="Arial" w:cs="Arial"/>
          <w:kern w:val="0"/>
          <w:sz w:val="24"/>
          <w:szCs w:val="24"/>
        </w:rPr>
      </w:pPr>
      <w:r>
        <w:rPr>
          <w:rFonts w:ascii="Arial" w:hAnsi="Arial" w:cs="Arial"/>
          <w:sz w:val="24"/>
        </w:rPr>
        <w:t>（3）</w:t>
      </w:r>
      <w:r>
        <w:rPr>
          <w:rFonts w:ascii="Arial" w:hAnsi="Arial" w:cs="Arial"/>
          <w:kern w:val="0"/>
          <w:sz w:val="24"/>
          <w:szCs w:val="24"/>
        </w:rPr>
        <w:t>以上货物必须是具备厂家合法销售渠道的全新合格正品，所有设备必须完全满足采购条件书所述性能配置要求，若产品在运输过程中损坏或擦伤须无偿调换相同产品。</w:t>
      </w:r>
    </w:p>
    <w:p>
      <w:pPr>
        <w:widowControl/>
        <w:ind w:left="-538" w:leftChars="-257" w:hanging="2"/>
        <w:rPr>
          <w:rFonts w:ascii="Arial" w:hAnsi="Arial" w:cs="Arial"/>
          <w:kern w:val="0"/>
          <w:sz w:val="24"/>
          <w:szCs w:val="24"/>
        </w:rPr>
      </w:pPr>
      <w:r>
        <w:rPr>
          <w:rFonts w:ascii="Arial" w:hAnsi="Arial" w:cs="Arial"/>
          <w:sz w:val="24"/>
        </w:rPr>
        <w:t>（4）</w:t>
      </w:r>
      <w:r>
        <w:rPr>
          <w:rFonts w:ascii="Arial" w:hAnsi="Arial" w:cs="Arial"/>
          <w:kern w:val="0"/>
          <w:sz w:val="24"/>
          <w:szCs w:val="24"/>
        </w:rPr>
        <w:t>报价供应商应保证所提供的货物或其任何一部分均不会侵犯任何第三方的专利权、商标权，如在使用过程中出现的一切经济和法律责任均由被选中的供应商负责。</w:t>
      </w:r>
    </w:p>
    <w:p>
      <w:pPr>
        <w:widowControl/>
        <w:ind w:left="-538" w:leftChars="-257" w:hanging="2"/>
        <w:rPr>
          <w:rFonts w:ascii="Arial" w:hAnsi="Arial" w:cs="Arial"/>
          <w:kern w:val="0"/>
          <w:sz w:val="24"/>
          <w:szCs w:val="24"/>
        </w:rPr>
      </w:pPr>
      <w:r>
        <w:rPr>
          <w:rFonts w:ascii="Arial" w:hAnsi="Arial" w:cs="Arial"/>
          <w:sz w:val="24"/>
        </w:rPr>
        <w:t>（5）</w:t>
      </w:r>
      <w:r>
        <w:rPr>
          <w:rFonts w:ascii="Arial" w:hAnsi="Arial" w:cs="Arial"/>
          <w:kern w:val="0"/>
          <w:sz w:val="24"/>
          <w:szCs w:val="24"/>
        </w:rPr>
        <w:t>报价须包含货物及货物运抵指定交货地点的运输、装卸费用、售后服务、税金、验收检验及其它所有费用的总和。</w:t>
      </w:r>
    </w:p>
    <w:p>
      <w:pPr>
        <w:widowControl/>
        <w:ind w:left="-538" w:leftChars="-257" w:hanging="2"/>
        <w:rPr>
          <w:rFonts w:ascii="Arial" w:hAnsi="Arial" w:cs="Arial"/>
          <w:kern w:val="0"/>
          <w:sz w:val="24"/>
          <w:szCs w:val="24"/>
        </w:rPr>
      </w:pPr>
      <w:r>
        <w:rPr>
          <w:rFonts w:ascii="Arial" w:hAnsi="Arial" w:cs="Arial"/>
          <w:sz w:val="24"/>
        </w:rPr>
        <w:t>（6）</w:t>
      </w:r>
      <w:r>
        <w:rPr>
          <w:rFonts w:ascii="Arial" w:hAnsi="Arial" w:cs="Arial"/>
          <w:color w:val="000000" w:themeColor="text1"/>
          <w:sz w:val="24"/>
        </w:rPr>
        <w:t>报价超出采购预算金额的文件将被视为无效。</w:t>
      </w:r>
    </w:p>
    <w:p>
      <w:pPr>
        <w:widowControl/>
        <w:ind w:left="-538" w:leftChars="-257" w:hanging="2"/>
        <w:rPr>
          <w:rFonts w:ascii="Arial" w:hAnsi="Arial" w:cs="Arial"/>
          <w:kern w:val="0"/>
          <w:sz w:val="24"/>
          <w:szCs w:val="24"/>
        </w:rPr>
      </w:pPr>
    </w:p>
    <w:p>
      <w:pPr>
        <w:widowControl/>
        <w:ind w:left="-538" w:leftChars="-257" w:hanging="2"/>
        <w:rPr>
          <w:rFonts w:ascii="Arial" w:hAnsi="Arial" w:cs="Arial"/>
          <w:kern w:val="0"/>
          <w:sz w:val="24"/>
          <w:szCs w:val="24"/>
        </w:rPr>
      </w:pPr>
      <w:r>
        <w:rPr>
          <w:rFonts w:ascii="Arial" w:hAnsi="Arial" w:cs="Arial"/>
          <w:kern w:val="0"/>
          <w:sz w:val="24"/>
          <w:szCs w:val="24"/>
        </w:rPr>
        <w:t>2. 质量标准：</w:t>
      </w:r>
      <w:r>
        <w:rPr>
          <w:rFonts w:ascii="Arial" w:hAnsi="Arial" w:cs="Arial"/>
          <w:kern w:val="0"/>
          <w:sz w:val="24"/>
          <w:szCs w:val="24"/>
        </w:rPr>
        <w:tab/>
      </w:r>
    </w:p>
    <w:p>
      <w:pPr>
        <w:widowControl/>
        <w:ind w:left="-538" w:leftChars="-257" w:hanging="2"/>
        <w:rPr>
          <w:rFonts w:ascii="Arial" w:hAnsi="Arial" w:cs="Arial"/>
          <w:kern w:val="0"/>
          <w:sz w:val="24"/>
          <w:szCs w:val="24"/>
        </w:rPr>
      </w:pPr>
      <w:r>
        <w:rPr>
          <w:rFonts w:ascii="Arial" w:hAnsi="Arial" w:cs="Arial"/>
          <w:sz w:val="24"/>
        </w:rPr>
        <w:t>（1）</w:t>
      </w:r>
      <w:r>
        <w:rPr>
          <w:rFonts w:ascii="Arial" w:hAnsi="Arial" w:cs="Arial"/>
          <w:kern w:val="0"/>
          <w:sz w:val="24"/>
          <w:szCs w:val="24"/>
        </w:rPr>
        <w:t>所报价货物须符合相关国家标准及行业标准，并满足本询价采购文件要求。</w:t>
      </w:r>
    </w:p>
    <w:p>
      <w:pPr>
        <w:widowControl/>
        <w:ind w:left="-538" w:leftChars="-257" w:hanging="2"/>
        <w:rPr>
          <w:rFonts w:ascii="Arial" w:hAnsi="Arial" w:cs="Arial"/>
          <w:kern w:val="0"/>
          <w:sz w:val="24"/>
          <w:szCs w:val="24"/>
        </w:rPr>
      </w:pPr>
      <w:r>
        <w:rPr>
          <w:rFonts w:ascii="Arial" w:hAnsi="Arial" w:cs="Arial"/>
          <w:sz w:val="24"/>
        </w:rPr>
        <w:t>（2）</w:t>
      </w:r>
      <w:r>
        <w:rPr>
          <w:rFonts w:ascii="Arial" w:hAnsi="Arial" w:cs="Arial"/>
          <w:kern w:val="0"/>
          <w:sz w:val="24"/>
          <w:szCs w:val="24"/>
        </w:rPr>
        <w:t>验收条件及标准按相关国家标准、行业标准和本询价采购文件要求验收。</w:t>
      </w:r>
    </w:p>
    <w:p>
      <w:pPr>
        <w:widowControl/>
        <w:ind w:left="-538" w:leftChars="-257" w:hanging="2"/>
        <w:rPr>
          <w:rFonts w:ascii="Arial" w:hAnsi="Arial" w:cs="Arial"/>
          <w:kern w:val="0"/>
          <w:sz w:val="24"/>
          <w:szCs w:val="24"/>
        </w:rPr>
      </w:pPr>
    </w:p>
    <w:p>
      <w:pPr>
        <w:widowControl/>
        <w:ind w:left="-538" w:leftChars="-257" w:hanging="2"/>
        <w:rPr>
          <w:rFonts w:ascii="Arial" w:hAnsi="Arial" w:cs="Arial"/>
          <w:kern w:val="0"/>
          <w:sz w:val="24"/>
          <w:szCs w:val="24"/>
        </w:rPr>
      </w:pPr>
      <w:r>
        <w:rPr>
          <w:rFonts w:ascii="Arial" w:hAnsi="Arial" w:cs="Arial"/>
          <w:kern w:val="0"/>
          <w:sz w:val="24"/>
          <w:szCs w:val="24"/>
        </w:rPr>
        <w:t>3. 交付时间及地点：</w:t>
      </w:r>
      <w:r>
        <w:rPr>
          <w:rFonts w:ascii="Arial" w:hAnsi="Arial" w:cs="Arial"/>
          <w:kern w:val="0"/>
          <w:sz w:val="24"/>
          <w:szCs w:val="24"/>
        </w:rPr>
        <w:tab/>
      </w:r>
    </w:p>
    <w:p>
      <w:pPr>
        <w:widowControl/>
        <w:ind w:left="-538" w:leftChars="-257" w:hanging="2"/>
        <w:rPr>
          <w:rFonts w:ascii="Arial" w:hAnsi="Arial" w:cs="Arial"/>
          <w:kern w:val="0"/>
          <w:sz w:val="24"/>
          <w:szCs w:val="24"/>
        </w:rPr>
      </w:pPr>
      <w:r>
        <w:rPr>
          <w:rFonts w:ascii="Arial" w:hAnsi="Arial" w:cs="Arial"/>
          <w:sz w:val="24"/>
        </w:rPr>
        <w:t>（1）</w:t>
      </w:r>
      <w:r>
        <w:rPr>
          <w:rFonts w:ascii="Arial" w:hAnsi="Arial" w:cs="Arial"/>
          <w:kern w:val="0"/>
          <w:sz w:val="24"/>
          <w:szCs w:val="24"/>
        </w:rPr>
        <w:t>交付使用期：自合同签订之日起10个工作日内供货、通过验收并交付使用。</w:t>
      </w:r>
    </w:p>
    <w:p>
      <w:pPr>
        <w:widowControl/>
        <w:ind w:left="-538" w:leftChars="-257" w:hanging="2"/>
        <w:rPr>
          <w:rFonts w:ascii="Arial" w:hAnsi="Arial" w:cs="Arial"/>
          <w:kern w:val="0"/>
          <w:sz w:val="24"/>
          <w:szCs w:val="24"/>
        </w:rPr>
      </w:pPr>
      <w:r>
        <w:rPr>
          <w:rFonts w:ascii="Arial" w:hAnsi="Arial" w:cs="Arial"/>
          <w:sz w:val="24"/>
        </w:rPr>
        <w:t>（2）</w:t>
      </w:r>
      <w:r>
        <w:rPr>
          <w:rFonts w:ascii="Arial" w:hAnsi="Arial" w:cs="Arial"/>
          <w:kern w:val="0"/>
          <w:sz w:val="24"/>
          <w:szCs w:val="24"/>
        </w:rPr>
        <w:t>交货地点： 柳州职业技术学院社湾校区。</w:t>
      </w:r>
    </w:p>
    <w:p>
      <w:pPr>
        <w:widowControl/>
        <w:ind w:left="-538" w:leftChars="-257" w:hanging="2"/>
        <w:rPr>
          <w:rFonts w:ascii="Arial" w:hAnsi="Arial" w:cs="Arial"/>
          <w:kern w:val="0"/>
          <w:sz w:val="24"/>
          <w:szCs w:val="24"/>
        </w:rPr>
      </w:pPr>
      <w:r>
        <w:rPr>
          <w:rFonts w:ascii="Arial" w:hAnsi="Arial" w:cs="Arial"/>
          <w:kern w:val="0"/>
          <w:sz w:val="24"/>
          <w:szCs w:val="24"/>
        </w:rPr>
        <w:t>付款方式：本项目无预付款，合同中所有货物全部安装调试完毕验收合格交付给学校使用后，被选中的供应商开具全额发票给学校，学校收到发票后10个工作日内付清合同金额全部货款。</w:t>
      </w:r>
    </w:p>
    <w:p>
      <w:pPr>
        <w:widowControl/>
        <w:ind w:left="-538" w:leftChars="-257" w:hanging="2"/>
        <w:rPr>
          <w:rFonts w:ascii="Arial" w:hAnsi="Arial" w:cs="Arial"/>
          <w:sz w:val="24"/>
          <w:szCs w:val="24"/>
        </w:rPr>
      </w:pPr>
      <w:r>
        <w:rPr>
          <w:rFonts w:ascii="Arial" w:hAnsi="Arial" w:cs="Arial"/>
          <w:sz w:val="24"/>
        </w:rPr>
        <w:t>（3）</w:t>
      </w:r>
      <w:r>
        <w:rPr>
          <w:rFonts w:ascii="Arial" w:hAnsi="Arial" w:cs="Arial"/>
          <w:sz w:val="24"/>
          <w:szCs w:val="24"/>
        </w:rPr>
        <w:t>报价文件包括本报价函（加盖报价商公章），报价商工商营业执照复印件、税务登记证复印件、法定代表人身份证复印件和委托代理人身份证复印件（委托代理时提供）</w:t>
      </w:r>
    </w:p>
    <w:p>
      <w:pPr>
        <w:widowControl/>
        <w:ind w:left="-538" w:leftChars="-257" w:hanging="2"/>
        <w:rPr>
          <w:rFonts w:ascii="Arial" w:hAnsi="Arial" w:cs="Arial"/>
          <w:sz w:val="24"/>
          <w:szCs w:val="24"/>
        </w:rPr>
      </w:pPr>
      <w:r>
        <w:rPr>
          <w:rFonts w:ascii="Arial" w:hAnsi="Arial" w:cs="Arial"/>
          <w:sz w:val="24"/>
        </w:rPr>
        <w:t>（4）</w:t>
      </w:r>
      <w:r>
        <w:rPr>
          <w:rFonts w:ascii="Arial" w:hAnsi="Arial" w:cs="Arial"/>
          <w:sz w:val="24"/>
          <w:szCs w:val="24"/>
        </w:rPr>
        <w:t>报价文件组成：报价文件一式三份。</w:t>
      </w:r>
    </w:p>
    <w:p>
      <w:pPr>
        <w:widowControl/>
        <w:ind w:left="-538" w:leftChars="-257" w:hanging="2"/>
        <w:rPr>
          <w:rFonts w:ascii="Arial" w:hAnsi="Arial" w:cs="Arial"/>
          <w:kern w:val="0"/>
          <w:sz w:val="24"/>
          <w:szCs w:val="24"/>
        </w:rPr>
      </w:pPr>
      <w:r>
        <w:rPr>
          <w:rFonts w:ascii="Arial" w:hAnsi="Arial" w:cs="Arial"/>
          <w:sz w:val="24"/>
        </w:rPr>
        <w:t>（5）</w:t>
      </w:r>
      <w:r>
        <w:rPr>
          <w:rFonts w:ascii="Arial" w:hAnsi="Arial" w:cs="Arial"/>
          <w:bCs/>
          <w:kern w:val="0"/>
          <w:sz w:val="24"/>
          <w:szCs w:val="24"/>
        </w:rPr>
        <w:t>报价</w:t>
      </w:r>
      <w:r>
        <w:rPr>
          <w:rFonts w:ascii="Arial" w:hAnsi="Arial" w:cs="Arial"/>
          <w:kern w:val="0"/>
          <w:sz w:val="24"/>
          <w:szCs w:val="24"/>
        </w:rPr>
        <w:t>商自行打印本报价函进行报价，报价为最终报价，本报价函填写好后的报价文件用文件袋密封并在封口处贴封条</w:t>
      </w:r>
      <w:r>
        <w:rPr>
          <w:rFonts w:ascii="Arial" w:hAnsi="Arial" w:cs="Arial"/>
          <w:color w:val="000000"/>
          <w:kern w:val="0"/>
          <w:sz w:val="24"/>
          <w:szCs w:val="24"/>
        </w:rPr>
        <w:t>并加盖公章，于2020年9月</w:t>
      </w:r>
      <w:r>
        <w:rPr>
          <w:rFonts w:hint="eastAsia" w:ascii="Arial" w:hAnsi="Arial" w:cs="Arial"/>
          <w:color w:val="000000"/>
          <w:kern w:val="0"/>
          <w:sz w:val="24"/>
          <w:szCs w:val="24"/>
        </w:rPr>
        <w:t>30</w:t>
      </w:r>
      <w:r>
        <w:rPr>
          <w:rFonts w:ascii="Arial" w:hAnsi="Arial" w:cs="Arial"/>
          <w:color w:val="000000"/>
          <w:kern w:val="0"/>
          <w:sz w:val="24"/>
          <w:szCs w:val="24"/>
        </w:rPr>
        <w:t>日（星期三）15：30至16：00送至柳州</w:t>
      </w:r>
      <w:r>
        <w:rPr>
          <w:rFonts w:ascii="Arial" w:hAnsi="Arial" w:cs="Arial"/>
          <w:kern w:val="0"/>
          <w:sz w:val="24"/>
          <w:szCs w:val="24"/>
        </w:rPr>
        <w:t>职业技术学院（柳州市社湾路28号）A区校门口门卫处，逾期无效。</w:t>
      </w:r>
    </w:p>
    <w:p>
      <w:pPr>
        <w:widowControl/>
        <w:ind w:left="-540" w:leftChars="-257"/>
        <w:rPr>
          <w:rFonts w:ascii="Arial" w:hAnsi="Arial" w:cs="Arial"/>
          <w:kern w:val="0"/>
          <w:sz w:val="24"/>
          <w:szCs w:val="24"/>
        </w:rPr>
      </w:pPr>
      <w:r>
        <w:rPr>
          <w:rFonts w:ascii="Arial" w:hAnsi="Arial" w:cs="Arial"/>
          <w:sz w:val="24"/>
        </w:rPr>
        <w:t>（6）</w:t>
      </w:r>
      <w:r>
        <w:rPr>
          <w:rFonts w:ascii="Arial" w:hAnsi="Arial" w:cs="Arial"/>
          <w:kern w:val="0"/>
          <w:sz w:val="24"/>
          <w:szCs w:val="24"/>
        </w:rPr>
        <w:t xml:space="preserve">报价书接收人：后勤与资产管理处资产科办公室工作人员（叶老师） </w:t>
      </w:r>
    </w:p>
    <w:p>
      <w:pPr>
        <w:widowControl/>
        <w:ind w:left="-540" w:leftChars="-257"/>
        <w:rPr>
          <w:rFonts w:ascii="Arial" w:hAnsi="Arial" w:cs="Arial"/>
          <w:kern w:val="0"/>
          <w:sz w:val="24"/>
          <w:szCs w:val="24"/>
        </w:rPr>
      </w:pPr>
      <w:r>
        <w:rPr>
          <w:rFonts w:ascii="Arial" w:hAnsi="Arial" w:cs="Arial"/>
          <w:kern w:val="0"/>
          <w:sz w:val="24"/>
          <w:szCs w:val="24"/>
        </w:rPr>
        <w:t>联系电话：18177289127</w:t>
      </w:r>
    </w:p>
    <w:p>
      <w:pPr>
        <w:widowControl/>
        <w:ind w:left="-540" w:leftChars="-257"/>
        <w:rPr>
          <w:rFonts w:ascii="Arial" w:hAnsi="Arial" w:cs="Arial"/>
          <w:kern w:val="0"/>
          <w:sz w:val="24"/>
          <w:szCs w:val="24"/>
        </w:rPr>
      </w:pPr>
      <w:r>
        <w:rPr>
          <w:rFonts w:ascii="Arial" w:hAnsi="Arial" w:cs="Arial"/>
          <w:kern w:val="0"/>
          <w:sz w:val="24"/>
          <w:szCs w:val="24"/>
        </w:rPr>
        <w:t xml:space="preserve">技术参数咨询人：冯老师0772-3156761  </w:t>
      </w:r>
    </w:p>
    <w:p>
      <w:pPr>
        <w:widowControl/>
        <w:ind w:left="-540" w:leftChars="-257"/>
        <w:rPr>
          <w:rFonts w:ascii="Arial" w:hAnsi="Arial" w:cs="Arial"/>
          <w:kern w:val="0"/>
          <w:sz w:val="24"/>
          <w:szCs w:val="24"/>
        </w:rPr>
      </w:pPr>
    </w:p>
    <w:p>
      <w:pPr>
        <w:widowControl/>
        <w:ind w:left="-540" w:leftChars="-257"/>
        <w:jc w:val="right"/>
        <w:rPr>
          <w:rFonts w:ascii="Arial" w:hAnsi="Arial" w:cs="Arial"/>
          <w:kern w:val="0"/>
          <w:sz w:val="24"/>
          <w:szCs w:val="24"/>
        </w:rPr>
      </w:pPr>
    </w:p>
    <w:p>
      <w:pPr>
        <w:widowControl/>
        <w:ind w:left="-540" w:leftChars="-257"/>
        <w:jc w:val="right"/>
        <w:rPr>
          <w:rFonts w:ascii="Arial" w:hAnsi="Arial" w:cs="Arial"/>
          <w:kern w:val="0"/>
          <w:sz w:val="24"/>
          <w:szCs w:val="24"/>
        </w:rPr>
      </w:pPr>
      <w:r>
        <w:rPr>
          <w:rFonts w:ascii="Arial" w:hAnsi="Arial" w:cs="Arial"/>
          <w:kern w:val="0"/>
          <w:sz w:val="24"/>
          <w:szCs w:val="24"/>
        </w:rPr>
        <w:t>柳州职业技术学院</w:t>
      </w:r>
    </w:p>
    <w:p>
      <w:pPr>
        <w:widowControl/>
        <w:wordWrap w:val="0"/>
        <w:ind w:left="-540" w:leftChars="-257"/>
        <w:jc w:val="right"/>
        <w:rPr>
          <w:rFonts w:ascii="Arial" w:hAnsi="Arial" w:cs="Arial"/>
          <w:color w:val="000000"/>
          <w:sz w:val="24"/>
          <w:szCs w:val="24"/>
        </w:rPr>
      </w:pPr>
      <w:r>
        <w:rPr>
          <w:rFonts w:ascii="Arial" w:hAnsi="Arial" w:cs="Arial"/>
          <w:color w:val="000000"/>
          <w:kern w:val="0"/>
          <w:sz w:val="24"/>
          <w:szCs w:val="24"/>
        </w:rPr>
        <w:t xml:space="preserve">   2020年9月</w:t>
      </w:r>
      <w:r>
        <w:rPr>
          <w:rFonts w:hint="eastAsia" w:ascii="Arial" w:hAnsi="Arial" w:cs="Arial"/>
          <w:color w:val="000000"/>
          <w:kern w:val="0"/>
          <w:sz w:val="24"/>
          <w:szCs w:val="24"/>
          <w:lang w:val="en-US" w:eastAsia="zh-CN"/>
        </w:rPr>
        <w:t>22</w:t>
      </w:r>
      <w:r>
        <w:rPr>
          <w:rFonts w:ascii="Arial" w:hAnsi="Arial" w:cs="Arial"/>
          <w:color w:val="000000"/>
          <w:kern w:val="0"/>
          <w:sz w:val="24"/>
          <w:szCs w:val="24"/>
        </w:rPr>
        <w:t>日</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widowControl/>
        <w:adjustRightInd w:val="0"/>
        <w:snapToGrid w:val="0"/>
        <w:jc w:val="left"/>
        <w:rPr>
          <w:rFonts w:ascii="Arial" w:hAnsi="Arial" w:cs="Arial" w:eastAsiaTheme="minorEastAsia"/>
          <w:kern w:val="0"/>
          <w:sz w:val="22"/>
          <w:szCs w:val="22"/>
        </w:rPr>
      </w:pPr>
    </w:p>
    <w:p>
      <w:pPr>
        <w:widowControl/>
        <w:adjustRightInd w:val="0"/>
        <w:snapToGrid w:val="0"/>
        <w:jc w:val="center"/>
        <w:rPr>
          <w:rFonts w:ascii="Arial" w:hAnsi="Arial" w:cs="Arial" w:eastAsiaTheme="minorEastAsia"/>
          <w:kern w:val="0"/>
          <w:sz w:val="22"/>
          <w:szCs w:val="22"/>
        </w:rPr>
      </w:pPr>
      <w:r>
        <w:rPr>
          <w:rFonts w:ascii="Arial" w:hAnsi="Arial" w:cs="Arial" w:eastAsiaTheme="minorEastAsia"/>
          <w:kern w:val="0"/>
          <w:sz w:val="22"/>
          <w:szCs w:val="22"/>
        </w:rPr>
        <w:t>疫情防控期间报价文件递送须知</w:t>
      </w:r>
    </w:p>
    <w:p>
      <w:pPr>
        <w:widowControl/>
        <w:adjustRightInd w:val="0"/>
        <w:snapToGrid w:val="0"/>
        <w:jc w:val="center"/>
        <w:rPr>
          <w:rFonts w:ascii="Arial" w:hAnsi="Arial" w:cs="Arial" w:eastAsiaTheme="minorEastAsia"/>
          <w:kern w:val="0"/>
          <w:sz w:val="22"/>
          <w:szCs w:val="22"/>
        </w:rPr>
      </w:pPr>
    </w:p>
    <w:p>
      <w:pPr>
        <w:widowControl/>
        <w:adjustRightInd w:val="0"/>
        <w:snapToGrid w:val="0"/>
        <w:jc w:val="left"/>
        <w:rPr>
          <w:rFonts w:ascii="Arial" w:hAnsi="Arial" w:cs="Arial" w:eastAsiaTheme="minorEastAsia"/>
          <w:kern w:val="0"/>
          <w:sz w:val="22"/>
          <w:szCs w:val="22"/>
        </w:rPr>
      </w:pPr>
      <w:r>
        <w:rPr>
          <w:rFonts w:ascii="Arial" w:hAnsi="Arial" w:cs="Arial" w:eastAsiaTheme="minorEastAsia"/>
          <w:kern w:val="0"/>
          <w:sz w:val="22"/>
          <w:szCs w:val="22"/>
        </w:rPr>
        <w:t>根据疫情防控需要，现发布此《疫情防控期间报价文件递送须知》（后简称《须知》）。请所有报价人仔细阅读《须知》的全部内容，并严格遵照执行。</w:t>
      </w:r>
    </w:p>
    <w:p>
      <w:pPr>
        <w:widowControl/>
        <w:adjustRightInd w:val="0"/>
        <w:snapToGrid w:val="0"/>
        <w:jc w:val="left"/>
        <w:rPr>
          <w:rFonts w:ascii="Arial" w:hAnsi="Arial" w:cs="Arial" w:eastAsiaTheme="minorEastAsia"/>
          <w:kern w:val="0"/>
          <w:sz w:val="22"/>
          <w:szCs w:val="22"/>
        </w:rPr>
      </w:pPr>
    </w:p>
    <w:p>
      <w:pPr>
        <w:widowControl/>
        <w:adjustRightInd w:val="0"/>
        <w:snapToGrid w:val="0"/>
        <w:jc w:val="left"/>
        <w:rPr>
          <w:rFonts w:ascii="Arial" w:hAnsi="Arial" w:cs="Arial" w:eastAsiaTheme="minorEastAsia"/>
          <w:kern w:val="0"/>
          <w:sz w:val="22"/>
          <w:szCs w:val="22"/>
        </w:rPr>
      </w:pPr>
      <w:r>
        <w:rPr>
          <w:rFonts w:ascii="Arial" w:hAnsi="Arial" w:cs="Arial" w:eastAsiaTheme="minorEastAsia"/>
          <w:kern w:val="0"/>
          <w:sz w:val="22"/>
          <w:szCs w:val="22"/>
        </w:rPr>
        <w:t>一、进入学校前须知</w:t>
      </w:r>
    </w:p>
    <w:p>
      <w:pPr>
        <w:widowControl/>
        <w:adjustRightInd w:val="0"/>
        <w:snapToGrid w:val="0"/>
        <w:jc w:val="left"/>
        <w:rPr>
          <w:rFonts w:ascii="Arial" w:hAnsi="Arial" w:cs="Arial" w:eastAsiaTheme="minorEastAsia"/>
          <w:kern w:val="0"/>
          <w:sz w:val="22"/>
          <w:szCs w:val="22"/>
        </w:rPr>
      </w:pPr>
    </w:p>
    <w:p>
      <w:pPr>
        <w:widowControl/>
        <w:adjustRightInd w:val="0"/>
        <w:snapToGrid w:val="0"/>
        <w:jc w:val="left"/>
        <w:rPr>
          <w:rFonts w:ascii="Arial" w:hAnsi="Arial" w:cs="Arial" w:eastAsiaTheme="minorEastAsia"/>
          <w:kern w:val="0"/>
          <w:sz w:val="22"/>
          <w:szCs w:val="22"/>
        </w:rPr>
      </w:pPr>
      <w:r>
        <w:rPr>
          <w:rFonts w:ascii="Arial" w:hAnsi="Arial" w:cs="Arial" w:eastAsiaTheme="minorEastAsia"/>
          <w:kern w:val="0"/>
          <w:sz w:val="22"/>
          <w:szCs w:val="22"/>
        </w:rPr>
        <w:t>（一）严控到场人数。为减少人员聚集风险，只允许每个报价人安排1名人员到柳州职业技术学院递送报价材料。</w:t>
      </w:r>
    </w:p>
    <w:p>
      <w:pPr>
        <w:widowControl/>
        <w:adjustRightInd w:val="0"/>
        <w:snapToGrid w:val="0"/>
        <w:jc w:val="left"/>
        <w:rPr>
          <w:rFonts w:ascii="Arial" w:hAnsi="Arial" w:cs="Arial" w:eastAsiaTheme="minorEastAsia"/>
          <w:kern w:val="0"/>
          <w:sz w:val="22"/>
          <w:szCs w:val="22"/>
        </w:rPr>
      </w:pPr>
    </w:p>
    <w:p>
      <w:pPr>
        <w:widowControl/>
        <w:adjustRightInd w:val="0"/>
        <w:snapToGrid w:val="0"/>
        <w:jc w:val="left"/>
        <w:rPr>
          <w:rFonts w:ascii="Arial" w:hAnsi="Arial" w:cs="Arial" w:eastAsiaTheme="minorEastAsia"/>
          <w:kern w:val="0"/>
          <w:sz w:val="22"/>
          <w:szCs w:val="22"/>
        </w:rPr>
      </w:pPr>
      <w:r>
        <w:rPr>
          <w:rFonts w:ascii="Arial" w:hAnsi="Arial" w:cs="Arial" w:eastAsiaTheme="minorEastAsia"/>
          <w:kern w:val="0"/>
          <w:sz w:val="22"/>
          <w:szCs w:val="22"/>
        </w:rPr>
        <w:t>（二）递交材料要求</w:t>
      </w:r>
    </w:p>
    <w:p>
      <w:pPr>
        <w:widowControl/>
        <w:adjustRightInd w:val="0"/>
        <w:snapToGrid w:val="0"/>
        <w:jc w:val="left"/>
        <w:rPr>
          <w:rFonts w:ascii="Arial" w:hAnsi="Arial" w:cs="Arial" w:eastAsiaTheme="minorEastAsia"/>
          <w:kern w:val="0"/>
          <w:sz w:val="22"/>
          <w:szCs w:val="22"/>
        </w:rPr>
      </w:pPr>
      <w:r>
        <w:rPr>
          <w:rFonts w:ascii="Arial" w:hAnsi="Arial" w:cs="Arial" w:eastAsiaTheme="minorEastAsia"/>
          <w:kern w:val="0"/>
          <w:sz w:val="22"/>
          <w:szCs w:val="22"/>
        </w:rPr>
        <w:t>鉴于目前是疫情防控期间，学校对于递交材料的工作，分为两种办法，供报价人选择：</w:t>
      </w:r>
    </w:p>
    <w:p>
      <w:pPr>
        <w:widowControl/>
        <w:adjustRightInd w:val="0"/>
        <w:snapToGrid w:val="0"/>
        <w:jc w:val="left"/>
        <w:rPr>
          <w:rFonts w:ascii="Arial" w:hAnsi="Arial" w:cs="Arial" w:eastAsiaTheme="minorEastAsia"/>
          <w:kern w:val="0"/>
          <w:sz w:val="22"/>
          <w:szCs w:val="22"/>
        </w:rPr>
      </w:pPr>
      <w:r>
        <w:rPr>
          <w:rFonts w:ascii="Arial" w:hAnsi="Arial" w:cs="Arial" w:eastAsiaTheme="minorEastAsia"/>
          <w:kern w:val="0"/>
          <w:sz w:val="22"/>
          <w:szCs w:val="22"/>
        </w:rPr>
        <w:t>1．现场递交</w:t>
      </w:r>
    </w:p>
    <w:p>
      <w:pPr>
        <w:widowControl/>
        <w:adjustRightInd w:val="0"/>
        <w:snapToGrid w:val="0"/>
        <w:jc w:val="left"/>
        <w:rPr>
          <w:rFonts w:ascii="Arial" w:hAnsi="Arial" w:cs="Arial" w:eastAsiaTheme="minorEastAsia"/>
          <w:kern w:val="0"/>
          <w:sz w:val="22"/>
          <w:szCs w:val="22"/>
        </w:rPr>
      </w:pPr>
      <w:r>
        <w:rPr>
          <w:rFonts w:ascii="Arial" w:hAnsi="Arial" w:cs="Arial" w:eastAsiaTheme="minorEastAsia"/>
          <w:kern w:val="0"/>
          <w:sz w:val="22"/>
          <w:szCs w:val="22"/>
        </w:rPr>
        <w:t>各报价人应指派无疫情接触史、身体健康且符合防疫要求的人员参加材料递送活动。递交人员应尽可能为柳州市籍，且长期在柳州市居住。由于学校对外来人员的进入需要留出时间走准入程序，故要求所有选择现场递交报价文件的报价人在9月</w:t>
      </w:r>
      <w:r>
        <w:rPr>
          <w:rFonts w:hint="eastAsia" w:ascii="Arial" w:hAnsi="Arial" w:cs="Arial" w:eastAsiaTheme="minorEastAsia"/>
          <w:kern w:val="0"/>
          <w:sz w:val="22"/>
          <w:szCs w:val="22"/>
        </w:rPr>
        <w:t>30</w:t>
      </w:r>
      <w:r>
        <w:rPr>
          <w:rFonts w:ascii="Arial" w:hAnsi="Arial" w:cs="Arial" w:eastAsiaTheme="minorEastAsia"/>
          <w:kern w:val="0"/>
          <w:sz w:val="22"/>
          <w:szCs w:val="22"/>
        </w:rPr>
        <w:t>日前，发送承诺书（样式详见附件）扫描件、报价人员身份证复印件、法人代表委托书（格式自拟）扫描件至339919790@qq.com，以上文件全部需要盖公章。未按时发送以上文件者，将被取消报价资格。</w:t>
      </w:r>
    </w:p>
    <w:p>
      <w:pPr>
        <w:widowControl/>
        <w:adjustRightInd w:val="0"/>
        <w:snapToGrid w:val="0"/>
        <w:jc w:val="left"/>
        <w:rPr>
          <w:rFonts w:ascii="Arial" w:hAnsi="Arial" w:cs="Arial" w:eastAsiaTheme="minorEastAsia"/>
          <w:kern w:val="0"/>
          <w:sz w:val="22"/>
          <w:szCs w:val="22"/>
        </w:rPr>
      </w:pPr>
      <w:r>
        <w:rPr>
          <w:rFonts w:ascii="Arial" w:hAnsi="Arial" w:cs="Arial" w:eastAsiaTheme="minorEastAsia"/>
          <w:kern w:val="0"/>
          <w:sz w:val="22"/>
          <w:szCs w:val="22"/>
        </w:rPr>
        <w:t>到学校递交报价文件时，同时递交之前扫描的承诺书、身份证复印件、法人代表委托书的纸质版给工作人员。未在现场递交以上文件纸质版者，将被取消报价资格。</w:t>
      </w:r>
    </w:p>
    <w:p>
      <w:pPr>
        <w:widowControl/>
        <w:adjustRightInd w:val="0"/>
        <w:snapToGrid w:val="0"/>
        <w:jc w:val="left"/>
        <w:rPr>
          <w:rFonts w:ascii="Arial" w:hAnsi="Arial" w:cs="Arial" w:eastAsiaTheme="minorEastAsia"/>
          <w:kern w:val="0"/>
          <w:sz w:val="22"/>
          <w:szCs w:val="22"/>
        </w:rPr>
      </w:pPr>
      <w:r>
        <w:rPr>
          <w:rFonts w:ascii="Arial" w:hAnsi="Arial" w:cs="Arial" w:eastAsiaTheme="minorEastAsia"/>
          <w:kern w:val="0"/>
          <w:sz w:val="22"/>
          <w:szCs w:val="22"/>
        </w:rPr>
        <w:t>2．邮寄递交</w:t>
      </w:r>
    </w:p>
    <w:p>
      <w:pPr>
        <w:widowControl/>
        <w:adjustRightInd w:val="0"/>
        <w:snapToGrid w:val="0"/>
        <w:jc w:val="left"/>
        <w:rPr>
          <w:rFonts w:ascii="Arial" w:hAnsi="Arial" w:cs="Arial" w:eastAsiaTheme="minorEastAsia"/>
          <w:kern w:val="0"/>
          <w:sz w:val="22"/>
          <w:szCs w:val="22"/>
        </w:rPr>
      </w:pPr>
      <w:r>
        <w:rPr>
          <w:rFonts w:ascii="Arial" w:hAnsi="Arial" w:cs="Arial" w:eastAsiaTheme="minorEastAsia"/>
          <w:kern w:val="0"/>
          <w:sz w:val="22"/>
          <w:szCs w:val="22"/>
        </w:rPr>
        <w:t>采用邮寄方式的报价人，请提前发邮件：339919790@qq.com 向叶老师咨询邮寄方式，回复时候将告知邮寄地址以及收件人信息；送达时间以柳州职业技术学院工作人员实际收到实物时间为准。学校必须在9月</w:t>
      </w:r>
      <w:r>
        <w:rPr>
          <w:rFonts w:hint="eastAsia" w:ascii="Arial" w:hAnsi="Arial" w:cs="Arial" w:eastAsiaTheme="minorEastAsia"/>
          <w:kern w:val="0"/>
          <w:sz w:val="22"/>
          <w:szCs w:val="22"/>
        </w:rPr>
        <w:t>30</w:t>
      </w:r>
      <w:r>
        <w:rPr>
          <w:rFonts w:ascii="Arial" w:hAnsi="Arial" w:cs="Arial" w:eastAsiaTheme="minorEastAsia"/>
          <w:kern w:val="0"/>
          <w:sz w:val="22"/>
          <w:szCs w:val="22"/>
        </w:rPr>
        <w:t>日中午12：00之前收到邮件；学校对报价人因邮寄产生的不能及时送达报价文件的风险不承担任何责任。</w:t>
      </w:r>
    </w:p>
    <w:p>
      <w:pPr>
        <w:widowControl/>
        <w:adjustRightInd w:val="0"/>
        <w:snapToGrid w:val="0"/>
        <w:jc w:val="left"/>
        <w:rPr>
          <w:rFonts w:ascii="Arial" w:hAnsi="Arial" w:cs="Arial" w:eastAsiaTheme="minorEastAsia"/>
          <w:kern w:val="0"/>
          <w:sz w:val="22"/>
          <w:szCs w:val="22"/>
        </w:rPr>
      </w:pPr>
    </w:p>
    <w:p>
      <w:pPr>
        <w:widowControl/>
        <w:adjustRightInd w:val="0"/>
        <w:snapToGrid w:val="0"/>
        <w:jc w:val="left"/>
        <w:rPr>
          <w:rFonts w:ascii="Arial" w:hAnsi="Arial" w:cs="Arial" w:eastAsiaTheme="minorEastAsia"/>
          <w:kern w:val="0"/>
          <w:sz w:val="22"/>
          <w:szCs w:val="22"/>
        </w:rPr>
      </w:pPr>
      <w:r>
        <w:rPr>
          <w:rFonts w:ascii="Arial" w:hAnsi="Arial" w:cs="Arial" w:eastAsiaTheme="minorEastAsia"/>
          <w:kern w:val="0"/>
          <w:sz w:val="22"/>
          <w:szCs w:val="22"/>
        </w:rPr>
        <w:t>二、进入校园须知</w:t>
      </w:r>
    </w:p>
    <w:p>
      <w:pPr>
        <w:widowControl/>
        <w:adjustRightInd w:val="0"/>
        <w:snapToGrid w:val="0"/>
        <w:jc w:val="left"/>
        <w:rPr>
          <w:rFonts w:ascii="Arial" w:hAnsi="Arial" w:cs="Arial" w:eastAsiaTheme="minorEastAsia"/>
          <w:kern w:val="0"/>
          <w:sz w:val="22"/>
          <w:szCs w:val="22"/>
        </w:rPr>
      </w:pPr>
    </w:p>
    <w:p>
      <w:pPr>
        <w:widowControl/>
        <w:adjustRightInd w:val="0"/>
        <w:snapToGrid w:val="0"/>
        <w:jc w:val="left"/>
        <w:rPr>
          <w:rFonts w:ascii="Arial" w:hAnsi="Arial" w:cs="Arial" w:eastAsiaTheme="minorEastAsia"/>
          <w:kern w:val="0"/>
          <w:sz w:val="22"/>
          <w:szCs w:val="22"/>
        </w:rPr>
      </w:pPr>
      <w:r>
        <w:rPr>
          <w:rFonts w:ascii="Arial" w:hAnsi="Arial" w:cs="Arial" w:eastAsiaTheme="minorEastAsia"/>
          <w:kern w:val="0"/>
          <w:sz w:val="22"/>
          <w:szCs w:val="22"/>
        </w:rPr>
        <w:t>（一）严格封闭管理。校园实行全封闭管理，所有外来人员只能从学校A区正门进出，无关人员一律不得进入。</w:t>
      </w:r>
    </w:p>
    <w:p>
      <w:pPr>
        <w:widowControl/>
        <w:adjustRightInd w:val="0"/>
        <w:snapToGrid w:val="0"/>
        <w:jc w:val="left"/>
        <w:rPr>
          <w:rFonts w:ascii="Arial" w:hAnsi="Arial" w:cs="Arial" w:eastAsiaTheme="minorEastAsia"/>
          <w:kern w:val="0"/>
          <w:sz w:val="22"/>
          <w:szCs w:val="22"/>
        </w:rPr>
      </w:pPr>
    </w:p>
    <w:p>
      <w:pPr>
        <w:widowControl/>
        <w:adjustRightInd w:val="0"/>
        <w:snapToGrid w:val="0"/>
        <w:jc w:val="left"/>
        <w:rPr>
          <w:rFonts w:ascii="Arial" w:hAnsi="Arial" w:cs="Arial" w:eastAsiaTheme="minorEastAsia"/>
          <w:kern w:val="0"/>
          <w:sz w:val="22"/>
          <w:szCs w:val="22"/>
        </w:rPr>
      </w:pPr>
      <w:r>
        <w:rPr>
          <w:rFonts w:ascii="Arial" w:hAnsi="Arial" w:cs="Arial" w:eastAsiaTheme="minorEastAsia"/>
          <w:kern w:val="0"/>
          <w:sz w:val="22"/>
          <w:szCs w:val="22"/>
        </w:rPr>
        <w:t>（二）严控人员进出。进入校园人员必须严格遵守疫情防控规定，自觉接受身份核验和体温检测，使用“扫码抗疫情”登记系统实行扫码出入，全程按要求做好佩戴口罩等防护措施。</w:t>
      </w:r>
    </w:p>
    <w:p>
      <w:pPr>
        <w:widowControl/>
        <w:adjustRightInd w:val="0"/>
        <w:snapToGrid w:val="0"/>
        <w:jc w:val="left"/>
        <w:rPr>
          <w:rFonts w:ascii="Arial" w:hAnsi="Arial" w:cs="Arial" w:eastAsiaTheme="minorEastAsia"/>
          <w:kern w:val="0"/>
          <w:sz w:val="22"/>
          <w:szCs w:val="22"/>
        </w:rPr>
      </w:pPr>
    </w:p>
    <w:p>
      <w:pPr>
        <w:widowControl/>
        <w:adjustRightInd w:val="0"/>
        <w:snapToGrid w:val="0"/>
        <w:jc w:val="left"/>
        <w:rPr>
          <w:rFonts w:ascii="Arial" w:hAnsi="Arial" w:cs="Arial" w:eastAsiaTheme="minorEastAsia"/>
          <w:kern w:val="0"/>
          <w:sz w:val="22"/>
          <w:szCs w:val="22"/>
        </w:rPr>
      </w:pPr>
      <w:r>
        <w:rPr>
          <w:rFonts w:ascii="Arial" w:hAnsi="Arial" w:cs="Arial" w:eastAsiaTheme="minorEastAsia"/>
          <w:kern w:val="0"/>
          <w:sz w:val="22"/>
          <w:szCs w:val="22"/>
        </w:rPr>
        <w:t>（三）严格规范处置</w:t>
      </w:r>
    </w:p>
    <w:p>
      <w:pPr>
        <w:widowControl/>
        <w:adjustRightInd w:val="0"/>
        <w:snapToGrid w:val="0"/>
        <w:jc w:val="left"/>
        <w:rPr>
          <w:rFonts w:ascii="Arial" w:hAnsi="Arial" w:cs="Arial" w:eastAsiaTheme="minorEastAsia"/>
          <w:kern w:val="0"/>
          <w:sz w:val="22"/>
          <w:szCs w:val="22"/>
        </w:rPr>
      </w:pPr>
      <w:r>
        <w:rPr>
          <w:rFonts w:ascii="Arial" w:hAnsi="Arial" w:cs="Arial" w:eastAsiaTheme="minorEastAsia"/>
          <w:kern w:val="0"/>
          <w:sz w:val="22"/>
          <w:szCs w:val="22"/>
        </w:rPr>
        <w:t>对发现疑似症状和来自疫情严重地区的人员，学校将按工作要求及防疫隔离区管理办法处置。</w:t>
      </w:r>
      <w:bookmarkStart w:id="0" w:name="_GoBack"/>
      <w:bookmarkEnd w:id="0"/>
    </w:p>
    <w:p>
      <w:pPr>
        <w:widowControl/>
        <w:adjustRightInd w:val="0"/>
        <w:snapToGrid w:val="0"/>
        <w:jc w:val="left"/>
        <w:rPr>
          <w:rFonts w:ascii="Arial" w:hAnsi="Arial" w:cs="Arial" w:eastAsiaTheme="minorEastAsia"/>
          <w:kern w:val="0"/>
          <w:sz w:val="22"/>
          <w:szCs w:val="22"/>
        </w:rPr>
      </w:pPr>
      <w:r>
        <w:rPr>
          <w:rFonts w:ascii="Arial" w:hAnsi="Arial" w:cs="Arial" w:eastAsiaTheme="minorEastAsia"/>
          <w:kern w:val="0"/>
          <w:sz w:val="22"/>
          <w:szCs w:val="22"/>
        </w:rPr>
        <w:t>对未正确佩戴口罩、体温≥37.3℃、有疫情接触史且医学观察未满14天者将按疫情防控要求进行严格处置。</w:t>
      </w:r>
    </w:p>
    <w:p>
      <w:pPr>
        <w:widowControl/>
        <w:adjustRightInd w:val="0"/>
        <w:snapToGrid w:val="0"/>
        <w:jc w:val="left"/>
        <w:rPr>
          <w:rFonts w:ascii="Arial" w:hAnsi="Arial" w:cs="Arial" w:eastAsiaTheme="minorEastAsia"/>
          <w:kern w:val="0"/>
          <w:sz w:val="22"/>
          <w:szCs w:val="22"/>
        </w:rPr>
      </w:pPr>
    </w:p>
    <w:p>
      <w:pPr>
        <w:widowControl/>
        <w:adjustRightInd w:val="0"/>
        <w:snapToGrid w:val="0"/>
        <w:jc w:val="left"/>
        <w:rPr>
          <w:rFonts w:ascii="Arial" w:hAnsi="Arial" w:cs="Arial" w:eastAsiaTheme="minorEastAsia"/>
          <w:kern w:val="0"/>
          <w:sz w:val="22"/>
          <w:szCs w:val="22"/>
        </w:rPr>
      </w:pPr>
      <w:r>
        <w:rPr>
          <w:rFonts w:ascii="Arial" w:hAnsi="Arial" w:cs="Arial" w:eastAsiaTheme="minorEastAsia"/>
          <w:kern w:val="0"/>
          <w:sz w:val="22"/>
          <w:szCs w:val="22"/>
        </w:rPr>
        <w:t>三、进入报价文件递送办公场所须知</w:t>
      </w:r>
    </w:p>
    <w:p>
      <w:pPr>
        <w:widowControl/>
        <w:adjustRightInd w:val="0"/>
        <w:snapToGrid w:val="0"/>
        <w:jc w:val="left"/>
        <w:rPr>
          <w:rFonts w:ascii="Arial" w:hAnsi="Arial" w:cs="Arial" w:eastAsiaTheme="minorEastAsia"/>
          <w:kern w:val="0"/>
          <w:sz w:val="22"/>
          <w:szCs w:val="22"/>
        </w:rPr>
      </w:pPr>
    </w:p>
    <w:p>
      <w:pPr>
        <w:widowControl/>
        <w:adjustRightInd w:val="0"/>
        <w:snapToGrid w:val="0"/>
        <w:jc w:val="left"/>
        <w:rPr>
          <w:rFonts w:ascii="Arial" w:hAnsi="Arial" w:cs="Arial" w:eastAsiaTheme="minorEastAsia"/>
          <w:kern w:val="0"/>
          <w:sz w:val="22"/>
          <w:szCs w:val="22"/>
        </w:rPr>
      </w:pPr>
      <w:r>
        <w:rPr>
          <w:rFonts w:ascii="Arial" w:hAnsi="Arial" w:cs="Arial" w:eastAsiaTheme="minorEastAsia"/>
          <w:kern w:val="0"/>
          <w:sz w:val="22"/>
          <w:szCs w:val="22"/>
        </w:rPr>
        <w:t>（一）保持安全距离。所有外来人员在递交材料现场依次等候，一律全程佩戴口罩，自觉保持1米以上的人员间隔距离，尽量隔空就座，不可喧哗闲聊，不可随意走动；保证自身口罩的清洁，不许在校园随意丢扔垃圾，如有废弃的口罩必须丢进学校指定的专门垃圾桶内。</w:t>
      </w:r>
    </w:p>
    <w:p>
      <w:pPr>
        <w:widowControl/>
        <w:adjustRightInd w:val="0"/>
        <w:snapToGrid w:val="0"/>
        <w:jc w:val="left"/>
        <w:rPr>
          <w:rFonts w:ascii="Arial" w:hAnsi="Arial" w:cs="Arial" w:eastAsiaTheme="minorEastAsia"/>
          <w:kern w:val="0"/>
          <w:sz w:val="22"/>
          <w:szCs w:val="22"/>
        </w:rPr>
      </w:pPr>
    </w:p>
    <w:p>
      <w:pPr>
        <w:widowControl/>
        <w:adjustRightInd w:val="0"/>
        <w:snapToGrid w:val="0"/>
        <w:jc w:val="left"/>
        <w:rPr>
          <w:rFonts w:ascii="Arial" w:hAnsi="Arial" w:cs="Arial" w:eastAsiaTheme="minorEastAsia"/>
          <w:kern w:val="0"/>
          <w:sz w:val="22"/>
          <w:szCs w:val="22"/>
        </w:rPr>
      </w:pPr>
      <w:r>
        <w:rPr>
          <w:rFonts w:ascii="Arial" w:hAnsi="Arial" w:cs="Arial" w:eastAsiaTheme="minorEastAsia"/>
          <w:kern w:val="0"/>
          <w:sz w:val="22"/>
          <w:szCs w:val="22"/>
        </w:rPr>
        <w:t>（二）控制活动时间。到学校递交材料时应提前备齐所需材料，即办即走、不得无故逗留。</w:t>
      </w:r>
    </w:p>
    <w:p>
      <w:pPr>
        <w:widowControl/>
        <w:adjustRightInd w:val="0"/>
        <w:snapToGrid w:val="0"/>
        <w:jc w:val="left"/>
        <w:rPr>
          <w:rFonts w:ascii="Arial" w:hAnsi="Arial" w:cs="Arial" w:eastAsiaTheme="minorEastAsia"/>
          <w:kern w:val="0"/>
          <w:sz w:val="22"/>
          <w:szCs w:val="22"/>
        </w:rPr>
      </w:pPr>
    </w:p>
    <w:p>
      <w:pPr>
        <w:widowControl/>
        <w:adjustRightInd w:val="0"/>
        <w:snapToGrid w:val="0"/>
        <w:jc w:val="left"/>
        <w:rPr>
          <w:rFonts w:ascii="Arial" w:hAnsi="Arial" w:cs="Arial" w:eastAsiaTheme="minorEastAsia"/>
          <w:kern w:val="0"/>
          <w:sz w:val="22"/>
          <w:szCs w:val="22"/>
        </w:rPr>
      </w:pPr>
      <w:r>
        <w:rPr>
          <w:rFonts w:ascii="Arial" w:hAnsi="Arial" w:cs="Arial" w:eastAsiaTheme="minorEastAsia"/>
          <w:kern w:val="0"/>
          <w:sz w:val="22"/>
          <w:szCs w:val="22"/>
        </w:rPr>
        <w:t>（三）紧急防疫联动。外来人员如在校园发现疑似新冠肺炎症状的，应立即主动联系现场工作人员。</w:t>
      </w:r>
    </w:p>
    <w:p>
      <w:pPr>
        <w:widowControl/>
        <w:adjustRightInd w:val="0"/>
        <w:snapToGrid w:val="0"/>
        <w:jc w:val="left"/>
        <w:rPr>
          <w:rFonts w:ascii="Arial" w:hAnsi="Arial" w:cs="Arial" w:eastAsiaTheme="minorEastAsia"/>
          <w:kern w:val="0"/>
          <w:sz w:val="22"/>
          <w:szCs w:val="22"/>
        </w:rPr>
      </w:pPr>
    </w:p>
    <w:p>
      <w:pPr>
        <w:widowControl/>
        <w:adjustRightInd w:val="0"/>
        <w:snapToGrid w:val="0"/>
        <w:jc w:val="right"/>
        <w:rPr>
          <w:rFonts w:ascii="Arial" w:hAnsi="Arial" w:cs="Arial" w:eastAsiaTheme="minorEastAsia"/>
          <w:kern w:val="0"/>
          <w:sz w:val="22"/>
          <w:szCs w:val="22"/>
        </w:rPr>
      </w:pPr>
      <w:r>
        <w:rPr>
          <w:rFonts w:ascii="Arial" w:hAnsi="Arial" w:cs="Arial" w:eastAsiaTheme="minorEastAsia"/>
          <w:kern w:val="0"/>
          <w:sz w:val="22"/>
          <w:szCs w:val="22"/>
        </w:rPr>
        <w:t>柳州职业技术学院</w:t>
      </w:r>
    </w:p>
    <w:p>
      <w:pPr>
        <w:widowControl/>
        <w:adjustRightInd w:val="0"/>
        <w:snapToGrid w:val="0"/>
        <w:jc w:val="right"/>
        <w:rPr>
          <w:rFonts w:ascii="Arial" w:hAnsi="Arial" w:cs="Arial" w:eastAsiaTheme="minorEastAsia"/>
          <w:kern w:val="0"/>
          <w:sz w:val="22"/>
          <w:szCs w:val="22"/>
        </w:rPr>
      </w:pPr>
      <w:r>
        <w:rPr>
          <w:rFonts w:ascii="Arial" w:hAnsi="Arial" w:cs="Arial" w:eastAsiaTheme="minorEastAsia"/>
          <w:kern w:val="0"/>
          <w:sz w:val="22"/>
          <w:szCs w:val="22"/>
        </w:rPr>
        <w:t>2020年9月</w:t>
      </w:r>
      <w:r>
        <w:rPr>
          <w:rFonts w:hint="eastAsia" w:ascii="Arial" w:hAnsi="Arial" w:cs="Arial" w:eastAsiaTheme="minorEastAsia"/>
          <w:kern w:val="0"/>
          <w:sz w:val="22"/>
          <w:szCs w:val="22"/>
          <w:lang w:val="en-US" w:eastAsia="zh-CN"/>
        </w:rPr>
        <w:t>22</w:t>
      </w:r>
      <w:r>
        <w:rPr>
          <w:rFonts w:ascii="Arial" w:hAnsi="Arial" w:cs="Arial" w:eastAsiaTheme="minorEastAsia"/>
          <w:kern w:val="0"/>
          <w:sz w:val="22"/>
          <w:szCs w:val="22"/>
        </w:rPr>
        <w:t>日</w:t>
      </w:r>
    </w:p>
    <w:p>
      <w:pPr>
        <w:widowControl/>
        <w:adjustRightInd w:val="0"/>
        <w:snapToGrid w:val="0"/>
        <w:jc w:val="left"/>
        <w:rPr>
          <w:rFonts w:ascii="Arial" w:hAnsi="Arial" w:cs="Arial" w:eastAsiaTheme="minorEastAsia"/>
          <w:kern w:val="0"/>
          <w:sz w:val="22"/>
          <w:szCs w:val="22"/>
        </w:rPr>
      </w:pPr>
    </w:p>
    <w:p>
      <w:pPr>
        <w:widowControl/>
        <w:adjustRightInd w:val="0"/>
        <w:snapToGrid w:val="0"/>
        <w:jc w:val="left"/>
        <w:rPr>
          <w:rFonts w:ascii="Arial" w:hAnsi="Arial" w:cs="Arial" w:eastAsiaTheme="minorEastAsia"/>
          <w:kern w:val="0"/>
          <w:sz w:val="22"/>
          <w:szCs w:val="22"/>
        </w:rPr>
      </w:pPr>
    </w:p>
    <w:p>
      <w:pPr>
        <w:widowControl/>
        <w:adjustRightInd w:val="0"/>
        <w:snapToGrid w:val="0"/>
        <w:jc w:val="left"/>
        <w:rPr>
          <w:rFonts w:ascii="Arial" w:hAnsi="Arial" w:cs="Arial" w:eastAsiaTheme="minorEastAsia"/>
          <w:kern w:val="0"/>
          <w:sz w:val="22"/>
          <w:szCs w:val="22"/>
        </w:rPr>
      </w:pPr>
    </w:p>
    <w:p>
      <w:pPr>
        <w:widowControl/>
        <w:adjustRightInd w:val="0"/>
        <w:snapToGrid w:val="0"/>
        <w:jc w:val="left"/>
        <w:rPr>
          <w:rFonts w:ascii="Arial" w:hAnsi="Arial" w:cs="Arial" w:eastAsiaTheme="minorEastAsia"/>
          <w:kern w:val="0"/>
          <w:sz w:val="22"/>
          <w:szCs w:val="22"/>
        </w:rPr>
      </w:pPr>
    </w:p>
    <w:p>
      <w:pPr>
        <w:widowControl/>
        <w:adjustRightInd w:val="0"/>
        <w:snapToGrid w:val="0"/>
        <w:jc w:val="left"/>
        <w:rPr>
          <w:rFonts w:ascii="Arial" w:hAnsi="Arial" w:cs="Arial" w:eastAsiaTheme="minorEastAsia"/>
          <w:kern w:val="0"/>
          <w:sz w:val="22"/>
          <w:szCs w:val="22"/>
        </w:rPr>
      </w:pPr>
    </w:p>
    <w:p>
      <w:pPr>
        <w:widowControl/>
        <w:adjustRightInd w:val="0"/>
        <w:snapToGrid w:val="0"/>
        <w:jc w:val="center"/>
        <w:rPr>
          <w:rFonts w:ascii="Arial" w:hAnsi="Arial" w:cs="Arial" w:eastAsiaTheme="minorEastAsia"/>
          <w:kern w:val="0"/>
          <w:sz w:val="22"/>
          <w:szCs w:val="22"/>
        </w:rPr>
      </w:pPr>
      <w:r>
        <w:rPr>
          <w:rFonts w:ascii="Arial" w:hAnsi="Arial" w:cs="Arial" w:eastAsiaTheme="minorEastAsia"/>
          <w:kern w:val="0"/>
          <w:sz w:val="22"/>
          <w:szCs w:val="22"/>
        </w:rPr>
        <w:t>报价人承诺书</w:t>
      </w:r>
    </w:p>
    <w:p>
      <w:pPr>
        <w:widowControl/>
        <w:adjustRightInd w:val="0"/>
        <w:snapToGrid w:val="0"/>
        <w:jc w:val="center"/>
        <w:rPr>
          <w:rFonts w:ascii="Arial" w:hAnsi="Arial" w:cs="Arial" w:eastAsiaTheme="minorEastAsia"/>
          <w:kern w:val="0"/>
          <w:sz w:val="22"/>
          <w:szCs w:val="22"/>
        </w:rPr>
      </w:pPr>
    </w:p>
    <w:p>
      <w:pPr>
        <w:widowControl/>
        <w:adjustRightInd w:val="0"/>
        <w:snapToGrid w:val="0"/>
        <w:jc w:val="left"/>
        <w:rPr>
          <w:rFonts w:ascii="Arial" w:hAnsi="Arial" w:cs="Arial" w:eastAsiaTheme="minorEastAsia"/>
          <w:kern w:val="0"/>
          <w:sz w:val="22"/>
          <w:szCs w:val="22"/>
        </w:rPr>
      </w:pPr>
      <w:r>
        <w:rPr>
          <w:rFonts w:ascii="Arial" w:hAnsi="Arial" w:cs="Arial" w:eastAsiaTheme="minorEastAsia"/>
          <w:kern w:val="0"/>
          <w:sz w:val="22"/>
          <w:szCs w:val="22"/>
        </w:rPr>
        <w:t>本单位____________________承诺严格落实党中央、国务院以及广西壮族自治区政府相关疫情防控工作部署，遵守《中华人民共和国传染病防治法》及其他疫情防控相关要求。本单位于  年  月  日递送_________________项目的报价文件。本单位承诺在递送过程中做到以下几点：</w:t>
      </w:r>
    </w:p>
    <w:p>
      <w:pPr>
        <w:widowControl/>
        <w:adjustRightInd w:val="0"/>
        <w:snapToGrid w:val="0"/>
        <w:jc w:val="left"/>
        <w:rPr>
          <w:rFonts w:ascii="Arial" w:hAnsi="Arial" w:cs="Arial" w:eastAsiaTheme="minorEastAsia"/>
          <w:kern w:val="0"/>
          <w:sz w:val="22"/>
          <w:szCs w:val="22"/>
        </w:rPr>
      </w:pPr>
    </w:p>
    <w:p>
      <w:pPr>
        <w:widowControl/>
        <w:adjustRightInd w:val="0"/>
        <w:snapToGrid w:val="0"/>
        <w:jc w:val="left"/>
        <w:rPr>
          <w:rFonts w:ascii="Arial" w:hAnsi="Arial" w:cs="Arial" w:eastAsiaTheme="minorEastAsia"/>
          <w:kern w:val="0"/>
          <w:sz w:val="22"/>
          <w:szCs w:val="22"/>
        </w:rPr>
      </w:pPr>
      <w:r>
        <w:rPr>
          <w:rFonts w:ascii="Arial" w:hAnsi="Arial" w:cs="Arial" w:eastAsiaTheme="minorEastAsia"/>
          <w:kern w:val="0"/>
          <w:sz w:val="22"/>
          <w:szCs w:val="22"/>
        </w:rPr>
        <w:t xml:space="preserve">1．参与报价人员积极配合采购人单位工作人员进行体温检测和人员信息登记。不符合防控管理要求的人员，不进入采购人单位，并于必要时积极配合采购人单位工作人员做好现场临时隔离工作。 </w:t>
      </w:r>
    </w:p>
    <w:p>
      <w:pPr>
        <w:widowControl/>
        <w:adjustRightInd w:val="0"/>
        <w:snapToGrid w:val="0"/>
        <w:jc w:val="left"/>
        <w:rPr>
          <w:rFonts w:ascii="Arial" w:hAnsi="Arial" w:cs="Arial" w:eastAsiaTheme="minorEastAsia"/>
          <w:kern w:val="0"/>
          <w:sz w:val="22"/>
          <w:szCs w:val="22"/>
        </w:rPr>
      </w:pPr>
      <w:r>
        <w:rPr>
          <w:rFonts w:ascii="Arial" w:hAnsi="Arial" w:cs="Arial" w:eastAsiaTheme="minorEastAsia"/>
          <w:kern w:val="0"/>
          <w:sz w:val="22"/>
          <w:szCs w:val="22"/>
        </w:rPr>
        <w:t xml:space="preserve">2．参加报价人员自觉做好个人防护，全程正确佩戴口罩，听从采购人单位工作人员的引导。 </w:t>
      </w:r>
    </w:p>
    <w:p>
      <w:pPr>
        <w:widowControl/>
        <w:adjustRightInd w:val="0"/>
        <w:snapToGrid w:val="0"/>
        <w:jc w:val="left"/>
        <w:rPr>
          <w:rFonts w:ascii="Arial" w:hAnsi="Arial" w:cs="Arial" w:eastAsiaTheme="minorEastAsia"/>
          <w:kern w:val="0"/>
          <w:sz w:val="22"/>
          <w:szCs w:val="22"/>
        </w:rPr>
      </w:pPr>
      <w:r>
        <w:rPr>
          <w:rFonts w:ascii="Arial" w:hAnsi="Arial" w:cs="Arial" w:eastAsiaTheme="minorEastAsia"/>
          <w:kern w:val="0"/>
          <w:sz w:val="22"/>
          <w:szCs w:val="22"/>
        </w:rPr>
        <w:t>3．本单位保证做好有关报价文件递送的各项准备工作，并按时到达采购人单位，避免因工作疏忽导致时间拖延和人员聚集；报价文件递送完毕后，本单位人员迅速离场，不在采购人单位停留。</w:t>
      </w:r>
    </w:p>
    <w:p>
      <w:pPr>
        <w:widowControl/>
        <w:adjustRightInd w:val="0"/>
        <w:snapToGrid w:val="0"/>
        <w:jc w:val="left"/>
        <w:rPr>
          <w:rFonts w:ascii="Arial" w:hAnsi="Arial" w:cs="Arial" w:eastAsiaTheme="minorEastAsia"/>
          <w:kern w:val="0"/>
          <w:sz w:val="22"/>
          <w:szCs w:val="22"/>
        </w:rPr>
      </w:pPr>
    </w:p>
    <w:p>
      <w:pPr>
        <w:widowControl/>
        <w:ind w:right="720"/>
        <w:rPr>
          <w:rFonts w:ascii="Arial" w:hAnsi="Arial" w:cs="Arial"/>
          <w:kern w:val="0"/>
          <w:sz w:val="22"/>
          <w:szCs w:val="22"/>
        </w:rPr>
      </w:pPr>
      <w:r>
        <w:rPr>
          <w:rFonts w:ascii="Arial" w:hAnsi="Arial" w:cs="Arial"/>
          <w:kern w:val="0"/>
          <w:sz w:val="22"/>
          <w:szCs w:val="22"/>
        </w:rPr>
        <w:t>对于报价文件递送人员，本单位登记其信息如下，</w:t>
      </w:r>
    </w:p>
    <w:p>
      <w:pPr>
        <w:widowControl/>
        <w:ind w:right="720"/>
        <w:rPr>
          <w:rFonts w:ascii="Arial" w:hAnsi="Arial" w:cs="Arial"/>
          <w:kern w:val="0"/>
          <w:sz w:val="22"/>
          <w:szCs w:val="22"/>
        </w:rPr>
      </w:pPr>
      <w:r>
        <w:rPr>
          <w:rFonts w:ascii="Arial" w:hAnsi="Arial" w:cs="Arial"/>
          <w:kern w:val="0"/>
          <w:sz w:val="22"/>
          <w:szCs w:val="22"/>
        </w:rPr>
        <w:t>1．本单位派出的报价人员（姓名），（身份证号码），（联系电话），在（省、市、区县）居住，无疫情接触史、身体健康。</w:t>
      </w:r>
    </w:p>
    <w:p>
      <w:pPr>
        <w:widowControl/>
        <w:ind w:right="720"/>
        <w:rPr>
          <w:rFonts w:ascii="Arial" w:hAnsi="Arial" w:cs="Arial"/>
          <w:kern w:val="0"/>
          <w:sz w:val="22"/>
          <w:szCs w:val="22"/>
        </w:rPr>
      </w:pPr>
      <w:r>
        <w:rPr>
          <w:rFonts w:ascii="Arial" w:hAnsi="Arial" w:cs="Arial"/>
          <w:kern w:val="0"/>
          <w:sz w:val="22"/>
          <w:szCs w:val="22"/>
        </w:rPr>
        <w:t>2.（1）此人于2020年5月1日之后未曾在北京市、辽宁省、黑龙江省、广东省、福建省、新疆维吾尔自治区停留或居住，未曾与以上五个省市自治区的人员有过接触；（2）此人于2020年5月1日之后未曾在广西壮族自治区以外停留或居住；（3）此人于2020年5月1日之后未曾离开中国大陆，未曾与任何港澳台人士、外籍人士接触。</w:t>
      </w:r>
    </w:p>
    <w:p>
      <w:pPr>
        <w:widowControl/>
        <w:ind w:right="720"/>
        <w:rPr>
          <w:rFonts w:ascii="Arial" w:hAnsi="Arial" w:cs="Arial"/>
          <w:kern w:val="0"/>
          <w:sz w:val="22"/>
          <w:szCs w:val="22"/>
        </w:rPr>
      </w:pPr>
      <w:r>
        <w:rPr>
          <w:rFonts w:ascii="Arial" w:hAnsi="Arial" w:cs="Arial"/>
          <w:kern w:val="0"/>
          <w:sz w:val="22"/>
          <w:szCs w:val="22"/>
        </w:rPr>
        <w:t xml:space="preserve">3.如在2020年5月1日之后有去过外省或中国大陆以外，此人在回来后，已满足隔离14日的条件，并经各项检测，证明健康状况良好。 </w:t>
      </w:r>
    </w:p>
    <w:p>
      <w:pPr>
        <w:widowControl/>
        <w:ind w:right="720"/>
        <w:rPr>
          <w:rFonts w:ascii="Arial" w:hAnsi="Arial" w:cs="Arial"/>
          <w:kern w:val="0"/>
          <w:sz w:val="22"/>
          <w:szCs w:val="22"/>
        </w:rPr>
      </w:pPr>
    </w:p>
    <w:p>
      <w:pPr>
        <w:widowControl/>
        <w:ind w:right="720"/>
        <w:rPr>
          <w:rFonts w:ascii="Arial" w:hAnsi="Arial" w:cs="Arial"/>
          <w:kern w:val="0"/>
          <w:sz w:val="22"/>
          <w:szCs w:val="22"/>
        </w:rPr>
      </w:pPr>
      <w:r>
        <w:rPr>
          <w:rFonts w:ascii="Arial" w:hAnsi="Arial" w:cs="Arial"/>
          <w:kern w:val="0"/>
          <w:sz w:val="22"/>
          <w:szCs w:val="22"/>
        </w:rPr>
        <w:t>以上信息均真实而有效，若被发现有虚假或瞒报信息，本单位____________________将自行放弃报价资格。</w:t>
      </w:r>
    </w:p>
    <w:p>
      <w:pPr>
        <w:widowControl/>
        <w:ind w:right="720"/>
        <w:rPr>
          <w:rFonts w:ascii="Arial" w:hAnsi="Arial" w:cs="Arial"/>
          <w:kern w:val="0"/>
          <w:sz w:val="22"/>
          <w:szCs w:val="22"/>
        </w:rPr>
      </w:pPr>
    </w:p>
    <w:p>
      <w:pPr>
        <w:widowControl/>
        <w:ind w:right="720"/>
        <w:jc w:val="right"/>
        <w:rPr>
          <w:rFonts w:ascii="Arial" w:hAnsi="Arial" w:cs="Arial"/>
          <w:kern w:val="0"/>
          <w:sz w:val="22"/>
          <w:szCs w:val="22"/>
        </w:rPr>
      </w:pPr>
      <w:r>
        <w:rPr>
          <w:rFonts w:ascii="Arial" w:hAnsi="Arial" w:cs="Arial"/>
          <w:kern w:val="0"/>
          <w:sz w:val="22"/>
          <w:szCs w:val="22"/>
        </w:rPr>
        <w:t xml:space="preserve">报价文件递送人员（签字）：                     </w:t>
      </w:r>
    </w:p>
    <w:p>
      <w:pPr>
        <w:widowControl/>
        <w:ind w:right="720"/>
        <w:jc w:val="right"/>
        <w:rPr>
          <w:rFonts w:ascii="Arial" w:hAnsi="Arial" w:cs="Arial"/>
          <w:kern w:val="0"/>
          <w:sz w:val="22"/>
          <w:szCs w:val="22"/>
        </w:rPr>
      </w:pPr>
      <w:r>
        <w:rPr>
          <w:rFonts w:ascii="Arial" w:hAnsi="Arial" w:cs="Arial"/>
          <w:kern w:val="0"/>
          <w:sz w:val="22"/>
          <w:szCs w:val="22"/>
        </w:rPr>
        <w:t xml:space="preserve">承诺人（公章）：                      </w:t>
      </w:r>
    </w:p>
    <w:p>
      <w:pPr>
        <w:widowControl/>
        <w:ind w:right="720"/>
        <w:jc w:val="right"/>
        <w:rPr>
          <w:rFonts w:ascii="Arial" w:hAnsi="Arial" w:cs="Arial"/>
          <w:kern w:val="0"/>
          <w:sz w:val="22"/>
          <w:szCs w:val="22"/>
        </w:rPr>
      </w:pPr>
      <w:r>
        <w:rPr>
          <w:rFonts w:ascii="Arial" w:hAnsi="Arial" w:cs="Arial"/>
          <w:kern w:val="0"/>
          <w:sz w:val="22"/>
          <w:szCs w:val="22"/>
        </w:rPr>
        <w:t>年     月     日</w:t>
      </w:r>
    </w:p>
    <w:p>
      <w:pPr>
        <w:widowControl/>
        <w:ind w:right="720"/>
        <w:jc w:val="right"/>
        <w:rPr>
          <w:rFonts w:ascii="Arial" w:hAnsi="Arial" w:cs="Arial"/>
          <w:kern w:val="0"/>
          <w:sz w:val="22"/>
          <w:szCs w:val="22"/>
        </w:rPr>
      </w:pPr>
    </w:p>
    <w:p>
      <w:pPr>
        <w:widowControl/>
        <w:adjustRightInd w:val="0"/>
        <w:snapToGrid w:val="0"/>
        <w:jc w:val="left"/>
        <w:rPr>
          <w:rFonts w:ascii="Arial" w:hAnsi="Arial" w:cs="Arial" w:eastAsiaTheme="minorEastAsia"/>
          <w:kern w:val="0"/>
          <w:sz w:val="22"/>
          <w:szCs w:val="22"/>
        </w:rPr>
      </w:pPr>
    </w:p>
    <w:p>
      <w:pPr>
        <w:rPr>
          <w:rFonts w:ascii="Arial" w:hAnsi="Arial" w:cs="Arial"/>
        </w:rPr>
      </w:pPr>
    </w:p>
    <w:sectPr>
      <w:pgSz w:w="11906" w:h="16838"/>
      <w:pgMar w:top="851" w:right="113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566A5B"/>
    <w:multiLevelType w:val="multilevel"/>
    <w:tmpl w:val="77566A5B"/>
    <w:lvl w:ilvl="0" w:tentative="0">
      <w:start w:val="4"/>
      <w:numFmt w:val="japaneseCounting"/>
      <w:lvlText w:val="%1、"/>
      <w:lvlJc w:val="left"/>
      <w:pPr>
        <w:ind w:left="180" w:hanging="720"/>
      </w:pPr>
      <w:rPr>
        <w:rFonts w:hint="default"/>
      </w:rPr>
    </w:lvl>
    <w:lvl w:ilvl="1" w:tentative="0">
      <w:start w:val="1"/>
      <w:numFmt w:val="lowerLetter"/>
      <w:lvlText w:val="%2)"/>
      <w:lvlJc w:val="left"/>
      <w:pPr>
        <w:ind w:left="300" w:hanging="420"/>
      </w:pPr>
    </w:lvl>
    <w:lvl w:ilvl="2" w:tentative="0">
      <w:start w:val="1"/>
      <w:numFmt w:val="lowerRoman"/>
      <w:lvlText w:val="%3."/>
      <w:lvlJc w:val="right"/>
      <w:pPr>
        <w:ind w:left="720" w:hanging="420"/>
      </w:pPr>
    </w:lvl>
    <w:lvl w:ilvl="3" w:tentative="0">
      <w:start w:val="1"/>
      <w:numFmt w:val="decimal"/>
      <w:lvlText w:val="%4."/>
      <w:lvlJc w:val="left"/>
      <w:pPr>
        <w:ind w:left="1140" w:hanging="420"/>
      </w:pPr>
    </w:lvl>
    <w:lvl w:ilvl="4" w:tentative="0">
      <w:start w:val="1"/>
      <w:numFmt w:val="lowerLetter"/>
      <w:lvlText w:val="%5)"/>
      <w:lvlJc w:val="left"/>
      <w:pPr>
        <w:ind w:left="1560" w:hanging="420"/>
      </w:pPr>
    </w:lvl>
    <w:lvl w:ilvl="5" w:tentative="0">
      <w:start w:val="1"/>
      <w:numFmt w:val="lowerRoman"/>
      <w:lvlText w:val="%6."/>
      <w:lvlJc w:val="right"/>
      <w:pPr>
        <w:ind w:left="1980" w:hanging="420"/>
      </w:pPr>
    </w:lvl>
    <w:lvl w:ilvl="6" w:tentative="0">
      <w:start w:val="1"/>
      <w:numFmt w:val="decimal"/>
      <w:lvlText w:val="%7."/>
      <w:lvlJc w:val="left"/>
      <w:pPr>
        <w:ind w:left="2400" w:hanging="420"/>
      </w:pPr>
    </w:lvl>
    <w:lvl w:ilvl="7" w:tentative="0">
      <w:start w:val="1"/>
      <w:numFmt w:val="lowerLetter"/>
      <w:lvlText w:val="%8)"/>
      <w:lvlJc w:val="left"/>
      <w:pPr>
        <w:ind w:left="2820" w:hanging="420"/>
      </w:pPr>
    </w:lvl>
    <w:lvl w:ilvl="8" w:tentative="0">
      <w:start w:val="1"/>
      <w:numFmt w:val="lowerRoman"/>
      <w:lvlText w:val="%9."/>
      <w:lvlJc w:val="right"/>
      <w:pPr>
        <w:ind w:left="32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3464A"/>
    <w:rsid w:val="00296779"/>
    <w:rsid w:val="002971F0"/>
    <w:rsid w:val="002C5410"/>
    <w:rsid w:val="00386F80"/>
    <w:rsid w:val="003C3B03"/>
    <w:rsid w:val="00624D1A"/>
    <w:rsid w:val="006853C7"/>
    <w:rsid w:val="009770F2"/>
    <w:rsid w:val="00A651E7"/>
    <w:rsid w:val="00A742B2"/>
    <w:rsid w:val="00B264AE"/>
    <w:rsid w:val="00B655BE"/>
    <w:rsid w:val="00B726EE"/>
    <w:rsid w:val="00B7438C"/>
    <w:rsid w:val="00BB376E"/>
    <w:rsid w:val="00C00FDB"/>
    <w:rsid w:val="00C3464A"/>
    <w:rsid w:val="00CB1C46"/>
    <w:rsid w:val="00D00490"/>
    <w:rsid w:val="00DD0123"/>
    <w:rsid w:val="00E305F7"/>
    <w:rsid w:val="00F17FDF"/>
    <w:rsid w:val="03307CEA"/>
    <w:rsid w:val="049D168C"/>
    <w:rsid w:val="071C3FD7"/>
    <w:rsid w:val="07B43925"/>
    <w:rsid w:val="08DC185A"/>
    <w:rsid w:val="096F4C73"/>
    <w:rsid w:val="099D1659"/>
    <w:rsid w:val="0C801B32"/>
    <w:rsid w:val="0F4C6AED"/>
    <w:rsid w:val="15840092"/>
    <w:rsid w:val="15EF3EDF"/>
    <w:rsid w:val="180D0462"/>
    <w:rsid w:val="1D67104D"/>
    <w:rsid w:val="26182BBD"/>
    <w:rsid w:val="295A6B37"/>
    <w:rsid w:val="29AD5157"/>
    <w:rsid w:val="2AB632AE"/>
    <w:rsid w:val="2D9B0B4B"/>
    <w:rsid w:val="2DA97344"/>
    <w:rsid w:val="2E5B7394"/>
    <w:rsid w:val="30674F84"/>
    <w:rsid w:val="32D93293"/>
    <w:rsid w:val="347F38B5"/>
    <w:rsid w:val="37805808"/>
    <w:rsid w:val="396B0334"/>
    <w:rsid w:val="3A037E9B"/>
    <w:rsid w:val="3A9E78FE"/>
    <w:rsid w:val="3B605CFC"/>
    <w:rsid w:val="3EE71440"/>
    <w:rsid w:val="3F121F97"/>
    <w:rsid w:val="3FD36F7D"/>
    <w:rsid w:val="4023626C"/>
    <w:rsid w:val="40833634"/>
    <w:rsid w:val="45137A34"/>
    <w:rsid w:val="4AB416F7"/>
    <w:rsid w:val="4C4B70D2"/>
    <w:rsid w:val="4CD063D0"/>
    <w:rsid w:val="4E245E35"/>
    <w:rsid w:val="546328BC"/>
    <w:rsid w:val="61267296"/>
    <w:rsid w:val="654A23C5"/>
    <w:rsid w:val="71B61F28"/>
    <w:rsid w:val="784514FD"/>
    <w:rsid w:val="7A712124"/>
    <w:rsid w:val="7B1E1A96"/>
    <w:rsid w:val="7E784B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10"/>
    <w:link w:val="3"/>
    <w:semiHidden/>
    <w:qFormat/>
    <w:uiPriority w:val="99"/>
    <w:rPr>
      <w:rFonts w:ascii="Calibri" w:hAnsi="Calibri" w:eastAsia="宋体" w:cs="Times New Roman"/>
      <w:kern w:val="2"/>
      <w:sz w:val="18"/>
      <w:szCs w:val="18"/>
    </w:rPr>
  </w:style>
  <w:style w:type="character" w:customStyle="1" w:styleId="16">
    <w:name w:val="批注文字 Char"/>
    <w:basedOn w:val="10"/>
    <w:link w:val="2"/>
    <w:semiHidden/>
    <w:qFormat/>
    <w:uiPriority w:val="99"/>
    <w:rPr>
      <w:rFonts w:ascii="Calibri" w:hAnsi="Calibri" w:eastAsia="宋体" w:cs="Times New Roman"/>
      <w:kern w:val="2"/>
      <w:sz w:val="21"/>
    </w:rPr>
  </w:style>
  <w:style w:type="character" w:customStyle="1" w:styleId="17">
    <w:name w:val="批注主题 Char"/>
    <w:basedOn w:val="16"/>
    <w:link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748</Words>
  <Characters>4269</Characters>
  <Lines>35</Lines>
  <Paragraphs>10</Paragraphs>
  <TotalTime>1</TotalTime>
  <ScaleCrop>false</ScaleCrop>
  <LinksUpToDate>false</LinksUpToDate>
  <CharactersWithSpaces>5007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2020-03-08T06:09:00Z</dcterms:created>
  <dc:creator>Administrator</dc:creator>
  <cp:lastModifiedBy>Administrator</cp:lastModifiedBy>
  <dcterms:modified xsi:type="dcterms:W3CDTF">2020-09-22T02:02:39Z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